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sz w:val="28"/>
          <w:szCs w:val="28"/>
        </w:rPr>
      </w:pPr>
      <w:r>
        <w:rPr>
          <w:rFonts w:hint="eastAsia" w:ascii="黑体" w:hAnsi="宋体" w:eastAsia="黑体"/>
          <w:sz w:val="28"/>
          <w:szCs w:val="28"/>
        </w:rPr>
        <w:t>附件</w:t>
      </w:r>
      <w:r>
        <w:rPr>
          <w:rFonts w:ascii="黑体" w:hAnsi="宋体" w:eastAsia="黑体"/>
          <w:sz w:val="28"/>
          <w:szCs w:val="28"/>
        </w:rPr>
        <w:t>8</w:t>
      </w:r>
    </w:p>
    <w:p>
      <w:pPr>
        <w:spacing w:line="360" w:lineRule="auto"/>
        <w:jc w:val="center"/>
        <w:rPr>
          <w:rFonts w:ascii="黑体" w:hAnsi="黑体" w:eastAsia="黑体"/>
          <w:sz w:val="36"/>
          <w:szCs w:val="36"/>
        </w:rPr>
      </w:pPr>
      <w:r>
        <w:rPr>
          <w:rFonts w:hint="eastAsia" w:ascii="黑体" w:hAnsi="黑体" w:eastAsia="黑体"/>
          <w:sz w:val="36"/>
          <w:szCs w:val="36"/>
        </w:rPr>
        <w:t>深圳市市场监督管理局深汕特别合作区</w:t>
      </w:r>
    </w:p>
    <w:p>
      <w:pPr>
        <w:spacing w:line="360" w:lineRule="auto"/>
        <w:jc w:val="center"/>
        <w:rPr>
          <w:rFonts w:ascii="黑体" w:hAnsi="黑体" w:eastAsia="黑体"/>
          <w:sz w:val="36"/>
          <w:szCs w:val="36"/>
        </w:rPr>
      </w:pPr>
      <w:r>
        <w:rPr>
          <w:rFonts w:hint="eastAsia" w:ascii="黑体" w:hAnsi="黑体" w:eastAsia="黑体"/>
          <w:sz w:val="36"/>
          <w:szCs w:val="36"/>
        </w:rPr>
        <w:t>原电池（非扣式电池）产品质量监督抽查实施规范</w:t>
      </w:r>
    </w:p>
    <w:p>
      <w:pPr>
        <w:spacing w:line="360" w:lineRule="auto"/>
        <w:jc w:val="center"/>
        <w:rPr>
          <w:rFonts w:ascii="黑体" w:hAnsi="黑体" w:eastAsia="黑体"/>
          <w:sz w:val="28"/>
        </w:rPr>
      </w:pPr>
      <w:r>
        <w:rPr>
          <w:rFonts w:hint="eastAsia" w:ascii="黑体" w:hAnsi="黑体" w:eastAsia="黑体"/>
          <w:sz w:val="28"/>
        </w:rPr>
        <w:t>编号</w:t>
      </w:r>
      <w:r>
        <w:rPr>
          <w:rFonts w:ascii="黑体" w:hAnsi="黑体" w:eastAsia="黑体"/>
          <w:sz w:val="28"/>
        </w:rPr>
        <w:t>：CCGF-SZ-192-</w:t>
      </w:r>
      <w:r>
        <w:rPr>
          <w:rFonts w:hint="eastAsia" w:ascii="黑体" w:hAnsi="黑体" w:eastAsia="黑体"/>
          <w:sz w:val="28"/>
        </w:rPr>
        <w:t>2020</w:t>
      </w: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本规范适用于深圳市生产及流通领域原电池（非扣式电池）产品质量监督抽查。监督抽查产品范围包括碱性锌-二氧化锰电池及锌-二氧化锰电池。</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3"/>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6"/>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6" w:type="dxa"/>
            <w:noWrap w:val="0"/>
            <w:vAlign w:val="center"/>
          </w:tcPr>
          <w:p>
            <w:pPr>
              <w:tabs>
                <w:tab w:val="left" w:pos="4680"/>
              </w:tabs>
              <w:spacing w:line="320" w:lineRule="exact"/>
              <w:jc w:val="center"/>
              <w:rPr>
                <w:rFonts w:ascii="黑体" w:hAnsi="宋体" w:eastAsia="黑体"/>
                <w:sz w:val="24"/>
              </w:rPr>
            </w:pPr>
            <w:r>
              <w:rPr>
                <w:rFonts w:hint="eastAsia" w:ascii="黑体" w:hAnsi="宋体" w:eastAsia="黑体"/>
                <w:sz w:val="24"/>
              </w:rPr>
              <w:t>产品种类</w:t>
            </w:r>
          </w:p>
        </w:tc>
        <w:tc>
          <w:tcPr>
            <w:tcW w:w="5812" w:type="dxa"/>
            <w:noWrap w:val="0"/>
            <w:vAlign w:val="center"/>
          </w:tcPr>
          <w:p>
            <w:pPr>
              <w:tabs>
                <w:tab w:val="left" w:pos="4680"/>
              </w:tabs>
              <w:spacing w:line="320" w:lineRule="exact"/>
              <w:jc w:val="center"/>
              <w:rPr>
                <w:rFonts w:ascii="黑体" w:hAnsi="宋体" w:eastAsia="黑体"/>
                <w:sz w:val="24"/>
              </w:rPr>
            </w:pPr>
            <w:r>
              <w:rPr>
                <w:rFonts w:hint="eastAsia" w:ascii="黑体" w:hAnsi="宋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86"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原电池（非扣式电池）</w:t>
            </w:r>
          </w:p>
        </w:tc>
        <w:tc>
          <w:tcPr>
            <w:tcW w:w="5812" w:type="dxa"/>
            <w:noWrap w:val="0"/>
            <w:vAlign w:val="center"/>
          </w:tcPr>
          <w:p>
            <w:pPr>
              <w:tabs>
                <w:tab w:val="left" w:pos="4680"/>
              </w:tabs>
              <w:spacing w:line="320" w:lineRule="exact"/>
              <w:rPr>
                <w:rFonts w:ascii="仿宋_GB2312" w:hAnsi="宋体" w:eastAsia="仿宋_GB2312"/>
                <w:sz w:val="24"/>
              </w:rPr>
            </w:pPr>
            <w:r>
              <w:rPr>
                <w:rFonts w:hint="eastAsia" w:ascii="仿宋_GB2312" w:hAnsi="宋体" w:eastAsia="仿宋_GB2312"/>
                <w:sz w:val="24"/>
              </w:rPr>
              <w:t>碱性锌-二氧化锰电池（型号为LR6、LR03）和锌-二氧化锰电池（型号为R6P、R03、R20S、R20P）</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3"/>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230"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w:t>
            </w:r>
          </w:p>
        </w:tc>
        <w:tc>
          <w:tcPr>
            <w:tcW w:w="6237" w:type="dxa"/>
            <w:noWrap w:val="0"/>
            <w:vAlign w:val="center"/>
          </w:tcPr>
          <w:p>
            <w:pPr>
              <w:snapToGrid w:val="0"/>
              <w:spacing w:line="300" w:lineRule="exact"/>
              <w:jc w:val="center"/>
              <w:rPr>
                <w:rFonts w:ascii="黑体" w:hAnsi="宋体" w:eastAsia="黑体"/>
                <w:sz w:val="24"/>
              </w:rPr>
            </w:pPr>
            <w:r>
              <w:rPr>
                <w:rFonts w:hint="eastAsia" w:ascii="黑体" w:hAnsi="宋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30" w:type="dxa"/>
            <w:noWrap w:val="0"/>
            <w:vAlign w:val="center"/>
          </w:tcPr>
          <w:p>
            <w:pPr>
              <w:autoSpaceDE w:val="0"/>
              <w:autoSpaceDN w:val="0"/>
              <w:adjustRightInd w:val="0"/>
              <w:spacing w:line="300" w:lineRule="exact"/>
              <w:jc w:val="center"/>
              <w:rPr>
                <w:rFonts w:ascii="仿宋_GB2312" w:hAnsi="宋体" w:eastAsia="仿宋_GB2312"/>
                <w:sz w:val="24"/>
              </w:rPr>
            </w:pPr>
            <w:r>
              <w:rPr>
                <w:rFonts w:hint="eastAsia" w:ascii="仿宋_GB2312" w:hAnsi="宋体" w:eastAsia="仿宋_GB2312"/>
                <w:sz w:val="24"/>
              </w:rPr>
              <w:t>原电池（非扣式电池）</w:t>
            </w:r>
          </w:p>
        </w:tc>
        <w:tc>
          <w:tcPr>
            <w:tcW w:w="6237" w:type="dxa"/>
            <w:noWrap w:val="0"/>
            <w:vAlign w:val="center"/>
          </w:tcPr>
          <w:p>
            <w:pPr>
              <w:autoSpaceDE w:val="0"/>
              <w:autoSpaceDN w:val="0"/>
              <w:adjustRightInd w:val="0"/>
              <w:spacing w:line="300" w:lineRule="exact"/>
              <w:rPr>
                <w:rFonts w:ascii="仿宋_GB2312" w:hAnsi="宋体" w:eastAsia="仿宋_GB2312"/>
                <w:sz w:val="24"/>
              </w:rPr>
            </w:pPr>
            <w:r>
              <w:rPr>
                <w:rFonts w:hint="eastAsia" w:ascii="仿宋_GB2312" w:hAnsi="宋体" w:eastAsia="仿宋_GB2312"/>
                <w:sz w:val="24"/>
              </w:rPr>
              <w:t>按不可以充电设计的电池，该电池装配有使用所必需的装置（如外壳、极端、标志及保护装置）的一个或多个单体电池，该电池的外形结构为非纽扣形式。</w:t>
            </w:r>
          </w:p>
        </w:tc>
      </w:tr>
    </w:tbl>
    <w:p>
      <w:pPr>
        <w:snapToGrid w:val="0"/>
        <w:ind w:firstLine="140" w:firstLineChars="50"/>
        <w:rPr>
          <w:rFonts w:ascii="黑体" w:hAnsi="黑体" w:eastAsia="黑体"/>
          <w:sz w:val="28"/>
          <w:szCs w:val="28"/>
        </w:rPr>
      </w:pPr>
      <w:r>
        <w:rPr>
          <w:rFonts w:hint="eastAsia" w:ascii="仿宋_GB2312" w:hAnsi="宋体" w:eastAsia="仿宋_GB2312"/>
          <w:sz w:val="28"/>
          <w:szCs w:val="28"/>
        </w:rPr>
        <w:t>本规范中未列出的术语和定义同相关引用标准。</w:t>
      </w:r>
    </w:p>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检验依据见表3。</w:t>
      </w:r>
    </w:p>
    <w:p>
      <w:pPr>
        <w:snapToGrid w:val="0"/>
        <w:spacing w:line="360" w:lineRule="auto"/>
        <w:ind w:firstLine="560" w:firstLineChars="200"/>
        <w:rPr>
          <w:rFonts w:ascii="仿宋_GB2312" w:hAnsi="宋体" w:eastAsia="仿宋_GB2312"/>
          <w:sz w:val="28"/>
          <w:szCs w:val="28"/>
        </w:rPr>
      </w:pP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3"/>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4407"/>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896"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407"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8897.1-2013</w:t>
            </w:r>
          </w:p>
        </w:tc>
        <w:tc>
          <w:tcPr>
            <w:tcW w:w="4407"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《原电池 第1部分：总则》</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GB/T 8897.2-2013</w:t>
            </w:r>
          </w:p>
        </w:tc>
        <w:tc>
          <w:tcPr>
            <w:tcW w:w="4407"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《原电池 第2部分：外形尺寸和电性能要求》</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9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GB 8897.5-2013</w:t>
            </w:r>
          </w:p>
        </w:tc>
        <w:tc>
          <w:tcPr>
            <w:tcW w:w="4407"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t>《原电池 第5部分：</w:t>
            </w:r>
            <w:r>
              <w:rPr>
                <w:rFonts w:ascii="仿宋_GB2312" w:hAnsi="宋体" w:eastAsia="仿宋_GB2312"/>
                <w:sz w:val="24"/>
              </w:rPr>
              <w:t>水溶液电解质电池的安全要求</w:t>
            </w:r>
            <w:r>
              <w:rPr>
                <w:rFonts w:hint="eastAsia" w:ascii="仿宋_GB2312" w:hAnsi="宋体" w:eastAsia="仿宋_GB2312"/>
                <w:sz w:val="24"/>
              </w:rPr>
              <w:t>》</w:t>
            </w:r>
          </w:p>
        </w:tc>
        <w:tc>
          <w:tcPr>
            <w:tcW w:w="2786" w:type="dxa"/>
            <w:noWrap w:val="0"/>
            <w:vAlign w:val="center"/>
          </w:tcPr>
          <w:p>
            <w:pPr>
              <w:spacing w:line="360" w:lineRule="auto"/>
              <w:jc w:val="center"/>
              <w:rPr>
                <w:rFonts w:ascii="仿宋_GB2312" w:hAnsi="宋体" w:eastAsia="仿宋_GB2312"/>
                <w:sz w:val="24"/>
              </w:rPr>
            </w:pPr>
            <w:r>
              <w:rPr>
                <w:rFonts w:hint="eastAsia" w:ascii="仿宋_GB2312" w:hAnsi="宋体" w:eastAsia="仿宋_GB2312"/>
                <w:sz w:val="24"/>
              </w:rPr>
              <w:sym w:font="Wingdings 2" w:char="F052"/>
            </w:r>
            <w:r>
              <w:rPr>
                <w:rFonts w:hint="eastAsia" w:ascii="仿宋_GB2312" w:hAnsi="宋体" w:eastAsia="仿宋_GB2312"/>
                <w:sz w:val="24"/>
              </w:rPr>
              <w:t xml:space="preserve">CMA </w:t>
            </w:r>
            <w:r>
              <w:rPr>
                <w:rFonts w:hint="eastAsia" w:ascii="仿宋_GB2312" w:hAnsi="宋体" w:eastAsia="仿宋_GB2312"/>
                <w:sz w:val="24"/>
              </w:rPr>
              <w:sym w:font="Wingdings 2" w:char="F052"/>
            </w:r>
            <w:r>
              <w:rPr>
                <w:rFonts w:hint="eastAsia" w:ascii="仿宋_GB2312" w:hAnsi="宋体" w:eastAsia="仿宋_GB2312"/>
                <w:sz w:val="24"/>
              </w:rPr>
              <w:t xml:space="preserve">CAL </w:t>
            </w:r>
            <w:r>
              <w:rPr>
                <w:rFonts w:hint="eastAsia" w:ascii="仿宋_GB2312" w:hAnsi="宋体" w:eastAsia="仿宋_GB2312"/>
                <w:sz w:val="24"/>
              </w:rPr>
              <w:sym w:font="Wingdings 2" w:char="F052"/>
            </w:r>
            <w:r>
              <w:rPr>
                <w:rFonts w:hint="eastAsia" w:ascii="仿宋_GB2312" w:hAnsi="宋体" w:eastAsia="仿宋_GB2312"/>
                <w:sz w:val="24"/>
              </w:rPr>
              <w:t>CNAS</w:t>
            </w:r>
          </w:p>
        </w:tc>
      </w:tr>
    </w:tbl>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抽查产品范围包括电池型号为碱性锌-二氧化锰电池（型号为LR6、LR03）和锌-二氧化锰电池（型号为R6P、R03、R20S、R20P）。</w:t>
      </w:r>
    </w:p>
    <w:p>
      <w:pPr>
        <w:snapToGrid w:val="0"/>
        <w:spacing w:line="360" w:lineRule="auto"/>
        <w:ind w:firstLine="562" w:firstLineChars="200"/>
        <w:rPr>
          <w:rFonts w:ascii="仿宋_GB2312" w:hAnsi="宋体" w:eastAsia="仿宋_GB2312"/>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r>
        <w:rPr>
          <w:rFonts w:hint="eastAsia" w:ascii="仿宋_GB2312" w:hAnsi="宋体" w:eastAsia="仿宋_GB2312"/>
          <w:b/>
          <w:sz w:val="28"/>
          <w:szCs w:val="28"/>
        </w:rPr>
        <w:br w:type="textWrapping"/>
      </w:r>
      <w:r>
        <w:rPr>
          <w:rFonts w:hint="eastAsia" w:ascii="仿宋_GB2312" w:hAnsi="宋体" w:eastAsia="仿宋_GB2312"/>
          <w:b/>
          <w:sz w:val="28"/>
          <w:szCs w:val="28"/>
        </w:rPr>
        <w:t xml:space="preserve">    </w:t>
      </w: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w:t>
      </w:r>
      <w:r>
        <w:rPr>
          <w:rFonts w:hint="eastAsia" w:ascii="仿宋_GB2312" w:hAnsi="宋体" w:eastAsia="仿宋_GB2312"/>
          <w:b/>
          <w:bCs/>
          <w:sz w:val="28"/>
          <w:szCs w:val="28"/>
        </w:rPr>
        <w:t xml:space="preserve"> 流通领域：</w:t>
      </w:r>
      <w:r>
        <w:rPr>
          <w:rFonts w:hint="eastAsia" w:ascii="仿宋_GB2312" w:hAnsi="宋体" w:eastAsia="仿宋_GB2312"/>
          <w:sz w:val="28"/>
          <w:szCs w:val="28"/>
        </w:rPr>
        <w:t>在流通领域抽样可在实体店以及网络交易平台两种途径获得样品。</w:t>
      </w:r>
    </w:p>
    <w:p>
      <w:pPr>
        <w:snapToGrid w:val="0"/>
        <w:spacing w:line="360" w:lineRule="auto"/>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w:t>
      </w:r>
      <w:bookmarkStart w:id="0" w:name="_GoBack"/>
      <w:bookmarkEnd w:id="0"/>
      <w:r>
        <w:rPr>
          <w:rFonts w:hint="eastAsia" w:ascii="仿宋_GB2312" w:hAnsi="宋体" w:eastAsia="仿宋_GB2312"/>
          <w:sz w:val="28"/>
          <w:szCs w:val="28"/>
        </w:rPr>
        <w:t>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登记注册的，可对该平台的自营商品进行抽检。若网络交易平台不在深圳市登记注册的，仅可对其平台上在深圳市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5.4 抽样数量</w:t>
      </w:r>
    </w:p>
    <w:p>
      <w:pPr>
        <w:rPr>
          <w:rFonts w:ascii="仿宋_GB2312" w:eastAsia="仿宋_GB2312"/>
          <w:sz w:val="28"/>
          <w:szCs w:val="28"/>
        </w:rPr>
      </w:pPr>
      <w:r>
        <w:rPr>
          <w:rFonts w:hint="eastAsia" w:ascii="仿宋_GB2312" w:eastAsia="仿宋_GB2312"/>
          <w:sz w:val="28"/>
          <w:szCs w:val="28"/>
        </w:rPr>
        <w:t>抽取样品的数量不得超过检验、复检的合理需要，具体数量见表4。</w:t>
      </w:r>
    </w:p>
    <w:p>
      <w:pPr>
        <w:snapToGrid w:val="0"/>
        <w:spacing w:line="360" w:lineRule="auto"/>
        <w:jc w:val="center"/>
        <w:rPr>
          <w:rFonts w:ascii="黑体" w:hAnsi="宋体" w:eastAsia="黑体"/>
          <w:sz w:val="28"/>
          <w:szCs w:val="28"/>
        </w:rPr>
      </w:pPr>
      <w:r>
        <w:rPr>
          <w:rFonts w:hint="eastAsia" w:ascii="黑体" w:hAnsi="宋体" w:eastAsia="黑体"/>
          <w:sz w:val="28"/>
          <w:szCs w:val="28"/>
        </w:rPr>
        <w:t>表4 每批次样品数量要求</w:t>
      </w:r>
    </w:p>
    <w:tbl>
      <w:tblPr>
        <w:tblStyle w:val="3"/>
        <w:tblW w:w="8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971"/>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55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类别</w:t>
            </w:r>
          </w:p>
        </w:tc>
        <w:tc>
          <w:tcPr>
            <w:tcW w:w="1971"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检验样品数量</w:t>
            </w:r>
          </w:p>
        </w:tc>
        <w:tc>
          <w:tcPr>
            <w:tcW w:w="197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备用样品数量</w:t>
            </w:r>
          </w:p>
        </w:tc>
        <w:tc>
          <w:tcPr>
            <w:tcW w:w="1972" w:type="dxa"/>
            <w:noWrap w:val="0"/>
            <w:vAlign w:val="center"/>
          </w:tcPr>
          <w:p>
            <w:pPr>
              <w:spacing w:before="50" w:line="360" w:lineRule="auto"/>
              <w:jc w:val="center"/>
              <w:rPr>
                <w:rFonts w:ascii="黑体" w:hAnsi="宋体" w:eastAsia="黑体"/>
                <w:sz w:val="24"/>
              </w:rPr>
            </w:pPr>
            <w:r>
              <w:rPr>
                <w:rFonts w:hint="eastAsia" w:ascii="黑体" w:hAnsi="宋体" w:eastAsia="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55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原电池（非扣式电池）</w:t>
            </w:r>
          </w:p>
        </w:tc>
        <w:tc>
          <w:tcPr>
            <w:tcW w:w="1971"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100只</w:t>
            </w:r>
          </w:p>
        </w:tc>
        <w:tc>
          <w:tcPr>
            <w:tcW w:w="197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100只</w:t>
            </w:r>
          </w:p>
        </w:tc>
        <w:tc>
          <w:tcPr>
            <w:tcW w:w="1972" w:type="dxa"/>
            <w:noWrap w:val="0"/>
            <w:vAlign w:val="center"/>
          </w:tcPr>
          <w:p>
            <w:pPr>
              <w:spacing w:before="50" w:line="360" w:lineRule="auto"/>
              <w:jc w:val="center"/>
              <w:rPr>
                <w:rFonts w:ascii="仿宋_GB2312" w:hAnsi="宋体" w:eastAsia="仿宋_GB2312"/>
                <w:sz w:val="24"/>
              </w:rPr>
            </w:pPr>
            <w:r>
              <w:rPr>
                <w:rFonts w:hint="eastAsia" w:ascii="仿宋_GB2312" w:hAnsi="宋体" w:eastAsia="仿宋_GB2312"/>
                <w:sz w:val="24"/>
              </w:rPr>
              <w:t>200只</w:t>
            </w:r>
          </w:p>
        </w:tc>
      </w:tr>
    </w:tbl>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在生产领域随机抽取的同一规格型号样品，检验样品带回承检机构，备用样品封存于承检机构；</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在流通领域（实体店）随机抽取的同一规格型号样品，检验样品带回承检机构，备用样品封存于受检单位；</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在流通领域（网络交易平台）随机抽取的同一规格型号样品，检验样品带回承检机构，备用样品封存于承检机构。</w:t>
      </w:r>
    </w:p>
    <w:p>
      <w:pPr>
        <w:snapToGrid w:val="0"/>
        <w:spacing w:line="360" w:lineRule="auto"/>
        <w:rPr>
          <w:rFonts w:ascii="仿宋_GB2312" w:hAnsi="宋体" w:eastAsia="仿宋_GB2312"/>
          <w:b/>
          <w:bCs/>
          <w:sz w:val="28"/>
          <w:szCs w:val="28"/>
        </w:rPr>
      </w:pPr>
      <w:r>
        <w:rPr>
          <w:rFonts w:hint="eastAsia" w:ascii="仿宋_GB2312" w:hAnsi="宋体" w:eastAsia="仿宋_GB2312"/>
          <w:b/>
          <w:bCs/>
          <w:sz w:val="28"/>
          <w:szCs w:val="28"/>
        </w:rPr>
        <w:t>5</w:t>
      </w:r>
      <w:r>
        <w:rPr>
          <w:rFonts w:ascii="仿宋_GB2312" w:hAnsi="宋体" w:eastAsia="仿宋_GB2312"/>
          <w:b/>
          <w:bCs/>
          <w:sz w:val="28"/>
          <w:szCs w:val="28"/>
        </w:rPr>
        <w:t>.5</w:t>
      </w:r>
      <w:r>
        <w:rPr>
          <w:rFonts w:hint="eastAsia" w:ascii="仿宋_GB2312" w:hAnsi="宋体" w:eastAsia="仿宋_GB2312"/>
          <w:b/>
          <w:bCs/>
          <w:sz w:val="28"/>
          <w:szCs w:val="28"/>
        </w:rPr>
        <w:t>取样要求</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样品应当由抽样人员在被抽样生产者、销售者的代销产品中随机抽取，不得由被抽样生产者、销售者自行抽样。</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360" w:lineRule="auto"/>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抽样时应一并抽取产品的配件、赠品等。</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 xml:space="preserve"> 样品处置</w:t>
      </w:r>
    </w:p>
    <w:p>
      <w:pPr>
        <w:spacing w:line="360" w:lineRule="auto"/>
        <w:rPr>
          <w:rFonts w:ascii="仿宋_GB2312" w:hAnsi="宋体" w:eastAsia="仿宋_GB2312"/>
          <w:sz w:val="28"/>
          <w:szCs w:val="28"/>
        </w:rPr>
      </w:pPr>
      <w:r>
        <w:rPr>
          <w:rFonts w:hint="eastAsia" w:ascii="仿宋_GB2312" w:hAnsi="ˎ̥" w:eastAsia="仿宋_GB2312"/>
          <w:b/>
          <w:sz w:val="28"/>
          <w:szCs w:val="28"/>
        </w:rPr>
        <w:t>5.</w:t>
      </w:r>
      <w:r>
        <w:rPr>
          <w:rFonts w:ascii="仿宋_GB2312" w:hAnsi="ˎ̥" w:eastAsia="仿宋_GB2312"/>
          <w:b/>
          <w:sz w:val="28"/>
          <w:szCs w:val="28"/>
        </w:rPr>
        <w:t>6</w:t>
      </w:r>
      <w:r>
        <w:rPr>
          <w:rFonts w:hint="eastAsia" w:ascii="仿宋_GB2312" w:hAnsi="ˎ̥" w:eastAsia="仿宋_GB2312"/>
          <w:b/>
          <w:sz w:val="28"/>
          <w:szCs w:val="28"/>
        </w:rPr>
        <w:t>.1</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.2</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spacing w:line="360" w:lineRule="auto"/>
        <w:rPr>
          <w:rFonts w:ascii="仿宋_GB2312" w:eastAsia="仿宋_GB2312"/>
          <w:sz w:val="28"/>
          <w:szCs w:val="28"/>
        </w:rPr>
      </w:pPr>
      <w:r>
        <w:rPr>
          <w:rFonts w:hint="eastAsia" w:ascii="仿宋_GB2312" w:hAnsi="宋体" w:eastAsia="仿宋_GB2312"/>
          <w:b/>
          <w:sz w:val="28"/>
          <w:szCs w:val="28"/>
        </w:rPr>
        <w:t>5.</w:t>
      </w:r>
      <w:r>
        <w:rPr>
          <w:rFonts w:ascii="仿宋_GB2312" w:hAnsi="宋体" w:eastAsia="仿宋_GB2312"/>
          <w:b/>
          <w:sz w:val="28"/>
          <w:szCs w:val="28"/>
        </w:rPr>
        <w:t>6</w:t>
      </w:r>
      <w:r>
        <w:rPr>
          <w:rFonts w:hint="eastAsia" w:ascii="仿宋_GB2312" w:hAnsi="宋体" w:eastAsia="仿宋_GB2312"/>
          <w:b/>
          <w:sz w:val="28"/>
          <w:szCs w:val="28"/>
        </w:rPr>
        <w:t>.3</w:t>
      </w:r>
      <w:r>
        <w:rPr>
          <w:rFonts w:hint="eastAsia" w:ascii="仿宋_GB2312" w:eastAsia="仿宋_GB2312"/>
          <w:sz w:val="28"/>
          <w:szCs w:val="28"/>
        </w:rPr>
        <w:t>抽取</w:t>
      </w:r>
      <w:r>
        <w:rPr>
          <w:rFonts w:hint="eastAsia" w:ascii="仿宋_GB2312" w:hAnsi="宋体" w:eastAsia="仿宋_GB2312"/>
          <w:sz w:val="28"/>
          <w:szCs w:val="28"/>
        </w:rPr>
        <w:t>原电池（非扣式电池）</w:t>
      </w:r>
      <w:r>
        <w:rPr>
          <w:rFonts w:hint="eastAsia" w:ascii="仿宋_GB2312" w:eastAsia="仿宋_GB2312"/>
          <w:sz w:val="28"/>
          <w:szCs w:val="28"/>
        </w:rPr>
        <w:t>产品时，需要抽取附件的产品附件包括说明书、保修卡等。</w:t>
      </w:r>
    </w:p>
    <w:p>
      <w:pPr>
        <w:autoSpaceDE w:val="0"/>
        <w:autoSpaceDN w:val="0"/>
        <w:adjustRightInd w:val="0"/>
        <w:spacing w:line="360" w:lineRule="auto"/>
        <w:rPr>
          <w:rFonts w:ascii="仿宋_GB2312" w:hAnsi="宋体" w:eastAsia="仿宋_GB2312"/>
          <w:b/>
          <w:sz w:val="28"/>
          <w:szCs w:val="28"/>
        </w:rPr>
      </w:pPr>
      <w:r>
        <w:rPr>
          <w:rFonts w:hint="eastAsia" w:ascii="仿宋_GB2312" w:hAnsi="宋体" w:eastAsia="仿宋_GB2312"/>
          <w:b/>
          <w:sz w:val="28"/>
          <w:szCs w:val="28"/>
        </w:rPr>
        <w:t>5.</w:t>
      </w:r>
      <w:r>
        <w:rPr>
          <w:rFonts w:ascii="仿宋_GB2312" w:hAnsi="宋体" w:eastAsia="仿宋_GB2312"/>
          <w:b/>
          <w:sz w:val="28"/>
          <w:szCs w:val="28"/>
        </w:rPr>
        <w:t xml:space="preserve">7 </w:t>
      </w:r>
      <w:r>
        <w:rPr>
          <w:rFonts w:hint="eastAsia" w:ascii="仿宋_GB2312" w:hAnsi="宋体" w:eastAsia="仿宋_GB2312"/>
          <w:b/>
          <w:sz w:val="28"/>
          <w:szCs w:val="28"/>
        </w:rPr>
        <w:t>抽样单</w:t>
      </w:r>
    </w:p>
    <w:p>
      <w:pPr>
        <w:snapToGrid w:val="0"/>
        <w:spacing w:line="360" w:lineRule="auto"/>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 检验要求</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6.1 检验项目</w:t>
      </w:r>
    </w:p>
    <w:p>
      <w:pPr>
        <w:snapToGrid w:val="0"/>
        <w:spacing w:line="360" w:lineRule="auto"/>
        <w:jc w:val="center"/>
        <w:rPr>
          <w:rFonts w:ascii="黑体" w:hAnsi="黑体" w:eastAsia="黑体"/>
          <w:sz w:val="28"/>
          <w:szCs w:val="28"/>
        </w:rPr>
      </w:pPr>
      <w:r>
        <w:rPr>
          <w:rFonts w:hint="eastAsia" w:ascii="黑体" w:hAnsi="黑体" w:eastAsia="黑体"/>
          <w:sz w:val="28"/>
          <w:szCs w:val="28"/>
        </w:rPr>
        <w:t>表5  原电池（非扣式电池）产品检验项目、依据及方法等要求</w:t>
      </w:r>
    </w:p>
    <w:tbl>
      <w:tblPr>
        <w:tblStyle w:val="3"/>
        <w:tblW w:w="95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68"/>
        <w:gridCol w:w="2410"/>
        <w:gridCol w:w="992"/>
        <w:gridCol w:w="2668"/>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704" w:type="dxa"/>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1868"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检验项目</w:t>
            </w:r>
          </w:p>
        </w:tc>
        <w:tc>
          <w:tcPr>
            <w:tcW w:w="2410" w:type="dxa"/>
            <w:noWrap w:val="0"/>
            <w:vAlign w:val="center"/>
          </w:tcPr>
          <w:p>
            <w:pPr>
              <w:snapToGrid w:val="0"/>
              <w:spacing w:before="78" w:beforeLines="25" w:after="78" w:afterLines="25"/>
              <w:jc w:val="center"/>
              <w:rPr>
                <w:rFonts w:ascii="黑体" w:hAnsi="宋体" w:eastAsia="黑体"/>
                <w:sz w:val="24"/>
              </w:rPr>
            </w:pPr>
            <w:r>
              <w:rPr>
                <w:rFonts w:hint="eastAsia" w:ascii="黑体" w:hAnsi="宋体" w:eastAsia="黑体"/>
                <w:sz w:val="24"/>
              </w:rPr>
              <w:t>依据法律法规</w:t>
            </w:r>
          </w:p>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或标准条款</w:t>
            </w:r>
          </w:p>
        </w:tc>
        <w:tc>
          <w:tcPr>
            <w:tcW w:w="992"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强制/推荐性</w:t>
            </w:r>
          </w:p>
        </w:tc>
        <w:tc>
          <w:tcPr>
            <w:tcW w:w="2668"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检测方法</w:t>
            </w:r>
          </w:p>
        </w:tc>
        <w:tc>
          <w:tcPr>
            <w:tcW w:w="923" w:type="dxa"/>
            <w:noWrap w:val="0"/>
            <w:vAlign w:val="center"/>
          </w:tcPr>
          <w:p>
            <w:pPr>
              <w:pStyle w:val="2"/>
              <w:snapToGrid w:val="0"/>
              <w:spacing w:before="78" w:beforeLines="25" w:after="78" w:afterLines="25"/>
              <w:jc w:val="center"/>
              <w:rPr>
                <w:rFonts w:ascii="黑体" w:hAnsi="宋体" w:eastAsia="黑体"/>
                <w:sz w:val="24"/>
                <w:szCs w:val="24"/>
              </w:rPr>
            </w:pPr>
            <w:r>
              <w:rPr>
                <w:rFonts w:hint="eastAsia" w:ascii="黑体" w:hAnsi="宋体" w:eastAsia="黑体"/>
                <w:sz w:val="24"/>
                <w:szCs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1</w:t>
            </w:r>
          </w:p>
        </w:tc>
        <w:tc>
          <w:tcPr>
            <w:tcW w:w="18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开路电压</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8897.1-2013；</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8897.2-2013</w:t>
            </w:r>
          </w:p>
        </w:tc>
        <w:tc>
          <w:tcPr>
            <w:tcW w:w="99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6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8897.1-2013 5.5；</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8897.2-2013 7.3</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2</w:t>
            </w:r>
          </w:p>
        </w:tc>
        <w:tc>
          <w:tcPr>
            <w:tcW w:w="18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泄漏与变形</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8897.1-2013；</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8897.2-2013</w:t>
            </w:r>
          </w:p>
        </w:tc>
        <w:tc>
          <w:tcPr>
            <w:tcW w:w="99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6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8897.1-2013 5.7；</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8897.2-2013 7.6</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3</w:t>
            </w:r>
          </w:p>
        </w:tc>
        <w:tc>
          <w:tcPr>
            <w:tcW w:w="18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放电性能</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8897.1-2013；</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8897.2-2013</w:t>
            </w:r>
          </w:p>
        </w:tc>
        <w:tc>
          <w:tcPr>
            <w:tcW w:w="99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推荐性</w:t>
            </w:r>
          </w:p>
        </w:tc>
        <w:tc>
          <w:tcPr>
            <w:tcW w:w="26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8897.1-2013 5.3；</w:t>
            </w:r>
          </w:p>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GB/T 8897.2-2013 7.5</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4</w:t>
            </w:r>
          </w:p>
        </w:tc>
        <w:tc>
          <w:tcPr>
            <w:tcW w:w="18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运输-冲击</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w:t>
            </w:r>
          </w:p>
        </w:tc>
        <w:tc>
          <w:tcPr>
            <w:tcW w:w="99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6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 6.2.2.2</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5</w:t>
            </w:r>
          </w:p>
        </w:tc>
        <w:tc>
          <w:tcPr>
            <w:tcW w:w="18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运输-振动</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w:t>
            </w:r>
          </w:p>
        </w:tc>
        <w:tc>
          <w:tcPr>
            <w:tcW w:w="99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6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 6.2.2.3</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6</w:t>
            </w:r>
          </w:p>
        </w:tc>
        <w:tc>
          <w:tcPr>
            <w:tcW w:w="18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不正确的安装</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w:t>
            </w:r>
          </w:p>
        </w:tc>
        <w:tc>
          <w:tcPr>
            <w:tcW w:w="99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6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 6.3.2.1</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7</w:t>
            </w:r>
          </w:p>
        </w:tc>
        <w:tc>
          <w:tcPr>
            <w:tcW w:w="18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外部短路</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w:t>
            </w:r>
          </w:p>
        </w:tc>
        <w:tc>
          <w:tcPr>
            <w:tcW w:w="99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6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 6.3.2.2</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8</w:t>
            </w:r>
          </w:p>
        </w:tc>
        <w:tc>
          <w:tcPr>
            <w:tcW w:w="18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过放电</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w:t>
            </w:r>
          </w:p>
        </w:tc>
        <w:tc>
          <w:tcPr>
            <w:tcW w:w="99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6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 6.3.2.3</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9</w:t>
            </w:r>
          </w:p>
        </w:tc>
        <w:tc>
          <w:tcPr>
            <w:tcW w:w="18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自由跌落</w:t>
            </w:r>
          </w:p>
        </w:tc>
        <w:tc>
          <w:tcPr>
            <w:tcW w:w="2410"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w:t>
            </w:r>
          </w:p>
        </w:tc>
        <w:tc>
          <w:tcPr>
            <w:tcW w:w="992"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强制性</w:t>
            </w:r>
          </w:p>
        </w:tc>
        <w:tc>
          <w:tcPr>
            <w:tcW w:w="2668"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GB 8897.5-2013 6.3.2.4</w:t>
            </w:r>
          </w:p>
        </w:tc>
        <w:tc>
          <w:tcPr>
            <w:tcW w:w="923" w:type="dxa"/>
            <w:noWrap w:val="0"/>
            <w:vAlign w:val="center"/>
          </w:tcPr>
          <w:p>
            <w:pPr>
              <w:pStyle w:val="2"/>
              <w:snapToGrid w:val="0"/>
              <w:spacing w:before="78" w:beforeLines="25" w:after="78" w:afterLines="25"/>
              <w:jc w:val="center"/>
              <w:rPr>
                <w:rFonts w:ascii="仿宋_GB2312" w:hAnsi="宋体" w:eastAsia="仿宋_GB2312"/>
                <w:sz w:val="24"/>
                <w:szCs w:val="24"/>
              </w:rPr>
            </w:pPr>
            <w:r>
              <w:rPr>
                <w:rFonts w:hint="eastAsia" w:ascii="仿宋_GB2312" w:hAnsi="宋体" w:eastAsia="仿宋_GB2312"/>
                <w:sz w:val="24"/>
                <w:szCs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565" w:type="dxa"/>
            <w:gridSpan w:val="6"/>
            <w:noWrap w:val="0"/>
            <w:vAlign w:val="center"/>
          </w:tcPr>
          <w:p>
            <w:pPr>
              <w:pStyle w:val="2"/>
              <w:snapToGrid w:val="0"/>
              <w:spacing w:before="78" w:beforeLines="25" w:after="78" w:afterLines="25"/>
              <w:rPr>
                <w:rFonts w:ascii="仿宋_GB2312" w:hAnsi="宋体" w:eastAsia="仿宋_GB2312"/>
                <w:sz w:val="24"/>
                <w:szCs w:val="24"/>
              </w:rPr>
            </w:pPr>
            <w:r>
              <w:rPr>
                <w:rFonts w:hint="eastAsia" w:ascii="仿宋_GB2312" w:hAnsi="宋体" w:eastAsia="仿宋_GB2312"/>
                <w:sz w:val="24"/>
                <w:szCs w:val="24"/>
              </w:rPr>
              <w:t>备注：第3项“放电性能””测试项目，不同型号的电池放电条件分别为：</w:t>
            </w:r>
          </w:p>
          <w:p>
            <w:pPr>
              <w:pStyle w:val="2"/>
              <w:snapToGrid w:val="0"/>
              <w:spacing w:before="78" w:beforeLines="25" w:after="78" w:afterLines="25"/>
              <w:rPr>
                <w:rFonts w:ascii="仿宋_GB2312" w:hAnsi="宋体" w:eastAsia="仿宋_GB2312"/>
                <w:sz w:val="24"/>
                <w:szCs w:val="24"/>
              </w:rPr>
            </w:pPr>
            <w:r>
              <w:rPr>
                <w:rFonts w:hint="eastAsia" w:ascii="仿宋_GB2312" w:hAnsi="宋体" w:eastAsia="仿宋_GB2312"/>
                <w:sz w:val="24"/>
                <w:szCs w:val="24"/>
              </w:rPr>
              <w:t>LR6: 3.9Ω，1h/d；250mA,1h</w:t>
            </w:r>
            <w:r>
              <w:rPr>
                <w:rFonts w:ascii="仿宋_GB2312" w:hAnsi="宋体" w:eastAsia="仿宋_GB2312"/>
                <w:sz w:val="24"/>
                <w:szCs w:val="24"/>
              </w:rPr>
              <w:t>/d</w:t>
            </w:r>
            <w:r>
              <w:rPr>
                <w:rFonts w:hint="eastAsia" w:ascii="仿宋_GB2312" w:hAnsi="宋体" w:eastAsia="仿宋_GB2312"/>
                <w:sz w:val="24"/>
                <w:szCs w:val="24"/>
              </w:rPr>
              <w:t xml:space="preserve"> </w:t>
            </w:r>
          </w:p>
          <w:p>
            <w:pPr>
              <w:pStyle w:val="2"/>
              <w:snapToGrid w:val="0"/>
              <w:spacing w:before="78" w:beforeLines="25" w:after="78" w:afterLines="25"/>
              <w:rPr>
                <w:rFonts w:ascii="仿宋_GB2312" w:hAnsi="宋体" w:eastAsia="仿宋_GB2312"/>
                <w:sz w:val="24"/>
                <w:szCs w:val="24"/>
              </w:rPr>
            </w:pPr>
            <w:r>
              <w:rPr>
                <w:rFonts w:ascii="仿宋_GB2312" w:hAnsi="宋体" w:eastAsia="仿宋_GB2312"/>
                <w:sz w:val="24"/>
                <w:szCs w:val="24"/>
              </w:rPr>
              <w:t>LR03</w:t>
            </w:r>
            <w:r>
              <w:rPr>
                <w:rFonts w:hint="eastAsia" w:ascii="仿宋_GB2312" w:hAnsi="宋体" w:eastAsia="仿宋_GB2312"/>
                <w:sz w:val="24"/>
                <w:szCs w:val="24"/>
              </w:rPr>
              <w:t>: 5.1Ω</w:t>
            </w:r>
            <w:r>
              <w:rPr>
                <w:rFonts w:ascii="仿宋_GB2312" w:hAnsi="宋体" w:eastAsia="仿宋_GB2312"/>
                <w:sz w:val="24"/>
                <w:szCs w:val="24"/>
              </w:rPr>
              <w:t>,1h/d</w:t>
            </w:r>
            <w:r>
              <w:rPr>
                <w:rFonts w:hint="eastAsia" w:ascii="仿宋_GB2312" w:hAnsi="宋体" w:eastAsia="仿宋_GB2312"/>
                <w:sz w:val="24"/>
                <w:szCs w:val="24"/>
              </w:rPr>
              <w:t>；100mA,1h</w:t>
            </w:r>
            <w:r>
              <w:rPr>
                <w:rFonts w:ascii="仿宋_GB2312" w:hAnsi="宋体" w:eastAsia="仿宋_GB2312"/>
                <w:sz w:val="24"/>
                <w:szCs w:val="24"/>
              </w:rPr>
              <w:t>/d</w:t>
            </w:r>
            <w:r>
              <w:rPr>
                <w:rFonts w:hint="eastAsia" w:ascii="仿宋_GB2312" w:hAnsi="宋体" w:eastAsia="仿宋_GB2312"/>
                <w:sz w:val="24"/>
                <w:szCs w:val="24"/>
              </w:rPr>
              <w:t xml:space="preserve"> </w:t>
            </w:r>
          </w:p>
          <w:p>
            <w:pPr>
              <w:pStyle w:val="2"/>
              <w:snapToGrid w:val="0"/>
              <w:spacing w:before="78" w:beforeLines="25" w:after="78" w:afterLines="25"/>
              <w:rPr>
                <w:rFonts w:ascii="仿宋_GB2312" w:hAnsi="宋体" w:eastAsia="仿宋_GB2312"/>
                <w:sz w:val="24"/>
                <w:szCs w:val="24"/>
              </w:rPr>
            </w:pPr>
            <w:r>
              <w:rPr>
                <w:rFonts w:ascii="仿宋_GB2312" w:hAnsi="宋体" w:eastAsia="仿宋_GB2312"/>
                <w:sz w:val="24"/>
                <w:szCs w:val="24"/>
              </w:rPr>
              <w:t>R6P</w:t>
            </w:r>
            <w:r>
              <w:rPr>
                <w:rFonts w:hint="eastAsia" w:ascii="仿宋_GB2312" w:hAnsi="宋体" w:eastAsia="仿宋_GB2312"/>
                <w:sz w:val="24"/>
                <w:szCs w:val="24"/>
              </w:rPr>
              <w:t xml:space="preserve">: </w:t>
            </w:r>
            <w:r>
              <w:rPr>
                <w:rFonts w:ascii="仿宋_GB2312" w:hAnsi="宋体" w:eastAsia="仿宋_GB2312"/>
                <w:sz w:val="24"/>
                <w:szCs w:val="24"/>
              </w:rPr>
              <w:t>43</w:t>
            </w:r>
            <w:r>
              <w:rPr>
                <w:rFonts w:hint="eastAsia" w:ascii="仿宋_GB2312" w:hAnsi="宋体" w:eastAsia="仿宋_GB2312"/>
                <w:sz w:val="24"/>
                <w:szCs w:val="24"/>
              </w:rPr>
              <w:t>Ω</w:t>
            </w:r>
            <w:r>
              <w:rPr>
                <w:rFonts w:ascii="仿宋_GB2312" w:hAnsi="宋体" w:eastAsia="仿宋_GB2312"/>
                <w:sz w:val="24"/>
                <w:szCs w:val="24"/>
              </w:rPr>
              <w:t>, 4h/d</w:t>
            </w:r>
            <w:r>
              <w:rPr>
                <w:rFonts w:hint="eastAsia" w:ascii="仿宋_GB2312" w:hAnsi="宋体" w:eastAsia="仿宋_GB2312"/>
                <w:sz w:val="24"/>
                <w:szCs w:val="24"/>
              </w:rPr>
              <w:t>；</w:t>
            </w:r>
            <w:r>
              <w:rPr>
                <w:rFonts w:ascii="仿宋_GB2312" w:hAnsi="宋体" w:eastAsia="仿宋_GB2312"/>
                <w:sz w:val="24"/>
                <w:szCs w:val="24"/>
              </w:rPr>
              <w:t>24</w:t>
            </w:r>
            <w:r>
              <w:rPr>
                <w:rFonts w:hint="eastAsia" w:ascii="仿宋_GB2312" w:hAnsi="宋体" w:eastAsia="仿宋_GB2312"/>
                <w:sz w:val="24"/>
                <w:szCs w:val="24"/>
              </w:rPr>
              <w:t>Ω</w:t>
            </w:r>
            <w:r>
              <w:rPr>
                <w:rFonts w:ascii="仿宋_GB2312" w:hAnsi="宋体" w:eastAsia="仿宋_GB2312"/>
                <w:sz w:val="24"/>
                <w:szCs w:val="24"/>
              </w:rPr>
              <w:t>,15s/min,8h/d</w:t>
            </w:r>
            <w:r>
              <w:rPr>
                <w:rFonts w:hint="eastAsia" w:ascii="仿宋_GB2312" w:hAnsi="宋体" w:eastAsia="仿宋_GB2312"/>
                <w:sz w:val="24"/>
                <w:szCs w:val="24"/>
              </w:rPr>
              <w:t xml:space="preserve"> </w:t>
            </w:r>
          </w:p>
          <w:p>
            <w:pPr>
              <w:pStyle w:val="2"/>
              <w:snapToGrid w:val="0"/>
              <w:spacing w:before="78" w:beforeLines="25" w:after="78" w:afterLines="25"/>
              <w:rPr>
                <w:rFonts w:ascii="仿宋_GB2312" w:hAnsi="宋体" w:eastAsia="仿宋_GB2312"/>
                <w:sz w:val="24"/>
                <w:szCs w:val="24"/>
              </w:rPr>
            </w:pPr>
            <w:r>
              <w:rPr>
                <w:rFonts w:ascii="仿宋_GB2312" w:hAnsi="宋体" w:eastAsia="仿宋_GB2312"/>
                <w:sz w:val="24"/>
                <w:szCs w:val="24"/>
              </w:rPr>
              <w:t>R03</w:t>
            </w:r>
            <w:r>
              <w:rPr>
                <w:rFonts w:hint="eastAsia" w:ascii="仿宋_GB2312" w:hAnsi="宋体" w:eastAsia="仿宋_GB2312"/>
                <w:sz w:val="24"/>
                <w:szCs w:val="24"/>
              </w:rPr>
              <w:t xml:space="preserve">: </w:t>
            </w:r>
            <w:r>
              <w:rPr>
                <w:rFonts w:ascii="仿宋_GB2312" w:hAnsi="宋体" w:eastAsia="仿宋_GB2312"/>
                <w:sz w:val="24"/>
                <w:szCs w:val="24"/>
              </w:rPr>
              <w:t>75</w:t>
            </w:r>
            <w:r>
              <w:rPr>
                <w:rFonts w:hint="eastAsia" w:ascii="仿宋_GB2312" w:hAnsi="宋体" w:eastAsia="仿宋_GB2312"/>
                <w:sz w:val="24"/>
                <w:szCs w:val="24"/>
              </w:rPr>
              <w:t>Ω</w:t>
            </w:r>
            <w:r>
              <w:rPr>
                <w:rFonts w:ascii="仿宋_GB2312" w:hAnsi="宋体" w:eastAsia="仿宋_GB2312"/>
                <w:sz w:val="24"/>
                <w:szCs w:val="24"/>
              </w:rPr>
              <w:t>,4h/d</w:t>
            </w:r>
            <w:r>
              <w:rPr>
                <w:rFonts w:hint="eastAsia" w:ascii="仿宋_GB2312" w:hAnsi="宋体" w:eastAsia="仿宋_GB2312"/>
                <w:sz w:val="24"/>
                <w:szCs w:val="24"/>
              </w:rPr>
              <w:t>；</w:t>
            </w:r>
            <w:r>
              <w:rPr>
                <w:rFonts w:ascii="仿宋_GB2312" w:hAnsi="宋体" w:eastAsia="仿宋_GB2312"/>
                <w:sz w:val="24"/>
                <w:szCs w:val="24"/>
              </w:rPr>
              <w:t>24</w:t>
            </w:r>
            <w:r>
              <w:rPr>
                <w:rFonts w:hint="eastAsia" w:ascii="仿宋_GB2312" w:hAnsi="宋体" w:eastAsia="仿宋_GB2312"/>
                <w:sz w:val="24"/>
                <w:szCs w:val="24"/>
              </w:rPr>
              <w:t>Ω</w:t>
            </w:r>
            <w:r>
              <w:rPr>
                <w:rFonts w:ascii="仿宋_GB2312" w:hAnsi="宋体" w:eastAsia="仿宋_GB2312"/>
                <w:sz w:val="24"/>
                <w:szCs w:val="24"/>
              </w:rPr>
              <w:t>,15s/min,8h/d</w:t>
            </w:r>
            <w:r>
              <w:rPr>
                <w:rFonts w:hint="eastAsia" w:ascii="仿宋_GB2312" w:hAnsi="宋体" w:eastAsia="仿宋_GB2312"/>
                <w:sz w:val="24"/>
                <w:szCs w:val="24"/>
              </w:rPr>
              <w:t xml:space="preserve"> </w:t>
            </w:r>
          </w:p>
          <w:p>
            <w:pPr>
              <w:pStyle w:val="2"/>
              <w:snapToGrid w:val="0"/>
              <w:spacing w:before="78" w:beforeLines="25" w:after="78" w:afterLines="25"/>
              <w:rPr>
                <w:rFonts w:ascii="仿宋_GB2312" w:hAnsi="宋体" w:eastAsia="仿宋_GB2312"/>
                <w:sz w:val="24"/>
                <w:szCs w:val="24"/>
              </w:rPr>
            </w:pPr>
            <w:r>
              <w:rPr>
                <w:rFonts w:ascii="仿宋_GB2312" w:hAnsi="宋体" w:eastAsia="仿宋_GB2312"/>
                <w:sz w:val="24"/>
                <w:szCs w:val="24"/>
              </w:rPr>
              <w:t>R20S</w:t>
            </w:r>
            <w:r>
              <w:rPr>
                <w:rFonts w:hint="eastAsia" w:ascii="仿宋_GB2312" w:hAnsi="宋体" w:eastAsia="仿宋_GB2312"/>
                <w:sz w:val="24"/>
                <w:szCs w:val="24"/>
              </w:rPr>
              <w:t xml:space="preserve">: </w:t>
            </w:r>
            <w:r>
              <w:rPr>
                <w:rFonts w:ascii="仿宋_GB2312" w:hAnsi="宋体" w:eastAsia="仿宋_GB2312"/>
                <w:sz w:val="24"/>
                <w:szCs w:val="24"/>
              </w:rPr>
              <w:t>2.2</w:t>
            </w:r>
            <w:r>
              <w:rPr>
                <w:rFonts w:hint="eastAsia" w:ascii="仿宋_GB2312" w:hAnsi="宋体" w:eastAsia="仿宋_GB2312"/>
                <w:sz w:val="24"/>
                <w:szCs w:val="24"/>
              </w:rPr>
              <w:t>Ω</w:t>
            </w:r>
            <w:r>
              <w:rPr>
                <w:rFonts w:ascii="仿宋_GB2312" w:hAnsi="宋体" w:eastAsia="仿宋_GB2312"/>
                <w:sz w:val="24"/>
                <w:szCs w:val="24"/>
              </w:rPr>
              <w:t>,4min/h,8h/d</w:t>
            </w:r>
            <w:r>
              <w:rPr>
                <w:rFonts w:hint="eastAsia" w:ascii="仿宋_GB2312" w:hAnsi="宋体" w:eastAsia="仿宋_GB2312"/>
                <w:sz w:val="24"/>
                <w:szCs w:val="24"/>
              </w:rPr>
              <w:t>；</w:t>
            </w:r>
            <w:r>
              <w:rPr>
                <w:rFonts w:ascii="仿宋_GB2312" w:hAnsi="宋体" w:eastAsia="仿宋_GB2312"/>
                <w:sz w:val="24"/>
                <w:szCs w:val="24"/>
              </w:rPr>
              <w:t>10</w:t>
            </w:r>
            <w:r>
              <w:rPr>
                <w:rFonts w:hint="eastAsia" w:ascii="仿宋_GB2312" w:hAnsi="宋体" w:eastAsia="仿宋_GB2312"/>
                <w:sz w:val="24"/>
                <w:szCs w:val="24"/>
              </w:rPr>
              <w:t>Ω</w:t>
            </w:r>
            <w:r>
              <w:rPr>
                <w:rFonts w:ascii="仿宋_GB2312" w:hAnsi="宋体" w:eastAsia="仿宋_GB2312"/>
                <w:sz w:val="24"/>
                <w:szCs w:val="24"/>
              </w:rPr>
              <w:t>,4h/d</w:t>
            </w:r>
            <w:r>
              <w:rPr>
                <w:rFonts w:hint="eastAsia" w:ascii="仿宋_GB2312" w:hAnsi="宋体" w:eastAsia="仿宋_GB2312"/>
                <w:sz w:val="24"/>
                <w:szCs w:val="24"/>
              </w:rPr>
              <w:t xml:space="preserve"> </w:t>
            </w:r>
          </w:p>
          <w:p>
            <w:pPr>
              <w:pStyle w:val="2"/>
              <w:snapToGrid w:val="0"/>
              <w:spacing w:before="78" w:beforeLines="25" w:after="78" w:afterLines="25"/>
              <w:rPr>
                <w:rFonts w:ascii="仿宋_GB2312" w:hAnsi="宋体" w:eastAsia="仿宋_GB2312"/>
                <w:sz w:val="24"/>
                <w:szCs w:val="24"/>
              </w:rPr>
            </w:pPr>
            <w:r>
              <w:rPr>
                <w:rFonts w:hint="eastAsia" w:ascii="仿宋_GB2312" w:hAnsi="宋体" w:eastAsia="仿宋_GB2312"/>
                <w:sz w:val="24"/>
                <w:szCs w:val="24"/>
              </w:rPr>
              <w:t xml:space="preserve">R20P: </w:t>
            </w:r>
            <w:r>
              <w:rPr>
                <w:rFonts w:ascii="仿宋_GB2312" w:hAnsi="宋体" w:eastAsia="仿宋_GB2312"/>
                <w:sz w:val="24"/>
                <w:szCs w:val="24"/>
              </w:rPr>
              <w:t>2.2</w:t>
            </w:r>
            <w:r>
              <w:rPr>
                <w:rFonts w:hint="eastAsia" w:ascii="仿宋_GB2312" w:hAnsi="宋体" w:eastAsia="仿宋_GB2312"/>
                <w:sz w:val="24"/>
                <w:szCs w:val="24"/>
              </w:rPr>
              <w:t>Ω</w:t>
            </w:r>
            <w:r>
              <w:rPr>
                <w:rFonts w:ascii="仿宋_GB2312" w:hAnsi="宋体" w:eastAsia="仿宋_GB2312"/>
                <w:sz w:val="24"/>
                <w:szCs w:val="24"/>
              </w:rPr>
              <w:t>,4min/h,8h/d</w:t>
            </w:r>
            <w:r>
              <w:rPr>
                <w:rFonts w:hint="eastAsia" w:ascii="仿宋_GB2312" w:hAnsi="宋体" w:eastAsia="仿宋_GB2312"/>
                <w:sz w:val="24"/>
                <w:szCs w:val="24"/>
              </w:rPr>
              <w:t>；</w:t>
            </w:r>
            <w:r>
              <w:rPr>
                <w:rFonts w:ascii="仿宋_GB2312" w:hAnsi="宋体" w:eastAsia="仿宋_GB2312"/>
                <w:sz w:val="24"/>
                <w:szCs w:val="24"/>
              </w:rPr>
              <w:t>10</w:t>
            </w:r>
            <w:r>
              <w:rPr>
                <w:rFonts w:hint="eastAsia" w:ascii="仿宋_GB2312" w:hAnsi="宋体" w:eastAsia="仿宋_GB2312"/>
                <w:sz w:val="24"/>
                <w:szCs w:val="24"/>
              </w:rPr>
              <w:t>Ω</w:t>
            </w:r>
            <w:r>
              <w:rPr>
                <w:rFonts w:ascii="仿宋_GB2312" w:hAnsi="宋体" w:eastAsia="仿宋_GB2312"/>
                <w:sz w:val="24"/>
                <w:szCs w:val="24"/>
              </w:rPr>
              <w:t>,4h/d</w:t>
            </w:r>
          </w:p>
        </w:tc>
      </w:tr>
    </w:tbl>
    <w:p>
      <w:pPr>
        <w:snapToGrid w:val="0"/>
        <w:spacing w:line="360" w:lineRule="auto"/>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360" w:lineRule="auto"/>
        <w:rPr>
          <w:rFonts w:ascii="仿宋_GB2312" w:hAnsi="宋体" w:eastAsia="仿宋_GB2312"/>
          <w:iCs/>
          <w:sz w:val="28"/>
          <w:szCs w:val="28"/>
        </w:rPr>
      </w:pPr>
      <w:r>
        <w:rPr>
          <w:rFonts w:ascii="仿宋_GB2312" w:eastAsia="仿宋_GB2312" w:cs="Sim Sun"/>
          <w:b/>
          <w:kern w:val="0"/>
          <w:sz w:val="28"/>
          <w:szCs w:val="28"/>
        </w:rPr>
        <w:t>6.2.1</w:t>
      </w:r>
      <w:r>
        <w:rPr>
          <w:rFonts w:ascii="仿宋_GB2312" w:eastAsia="仿宋_GB2312" w:cs="Sim Sun"/>
          <w:kern w:val="0"/>
          <w:sz w:val="28"/>
          <w:szCs w:val="28"/>
        </w:rPr>
        <w:t xml:space="preserve"> </w:t>
      </w:r>
      <w:r>
        <w:rPr>
          <w:rFonts w:hint="eastAsia" w:ascii="仿宋_GB2312" w:eastAsia="仿宋_GB2312" w:cs="Sim Sun"/>
          <w:kern w:val="0"/>
          <w:sz w:val="28"/>
          <w:szCs w:val="28"/>
        </w:rPr>
        <w:t>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6.2.2</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360" w:lineRule="auto"/>
        <w:rPr>
          <w:rFonts w:ascii="仿宋_GB2312" w:eastAsia="仿宋_GB2312" w:cs="Sim Sun"/>
          <w:kern w:val="0"/>
          <w:sz w:val="28"/>
          <w:szCs w:val="28"/>
        </w:rPr>
      </w:pPr>
      <w:r>
        <w:rPr>
          <w:rFonts w:ascii="仿宋_GB2312" w:eastAsia="仿宋_GB2312" w:cs="Sim Sun"/>
          <w:b/>
          <w:kern w:val="0"/>
          <w:sz w:val="28"/>
          <w:szCs w:val="28"/>
        </w:rPr>
        <w:t>6.2.3</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360" w:lineRule="auto"/>
        <w:rPr>
          <w:rFonts w:ascii="仿宋_GB2312" w:eastAsia="仿宋_GB2312" w:cs="Sim Sun"/>
          <w:kern w:val="0"/>
          <w:sz w:val="28"/>
          <w:szCs w:val="28"/>
        </w:rPr>
      </w:pPr>
      <w:r>
        <w:rPr>
          <w:rFonts w:ascii="仿宋_GB2312" w:eastAsia="仿宋_GB2312" w:cs="Sim Sun"/>
          <w:b/>
          <w:bCs/>
          <w:kern w:val="0"/>
          <w:sz w:val="28"/>
          <w:szCs w:val="28"/>
        </w:rPr>
        <w:t>6.2.4</w:t>
      </w:r>
      <w:r>
        <w:rPr>
          <w:rFonts w:ascii="仿宋_GB2312" w:eastAsia="仿宋_GB2312" w:cs="Sim Sun"/>
          <w:kern w:val="0"/>
          <w:sz w:val="28"/>
          <w:szCs w:val="28"/>
        </w:rPr>
        <w:t xml:space="preserve"> </w:t>
      </w:r>
      <w:r>
        <w:rPr>
          <w:rFonts w:hint="eastAsia" w:ascii="仿宋_GB2312" w:eastAsia="仿宋_GB2312" w:cs="Sim Sun"/>
          <w:kern w:val="0"/>
          <w:sz w:val="28"/>
          <w:szCs w:val="28"/>
        </w:rPr>
        <w:t>若被检产品明示的质量要求低于或包含本规范中检验项目依据的推荐性标准要求时，应以被检产品明示的质量要求判定。</w:t>
      </w:r>
    </w:p>
    <w:p>
      <w:pPr>
        <w:snapToGrid w:val="0"/>
        <w:spacing w:line="360" w:lineRule="auto"/>
        <w:rPr>
          <w:rFonts w:ascii="仿宋_GB2312" w:eastAsia="仿宋_GB2312" w:cs="Sim Sun"/>
          <w:kern w:val="0"/>
          <w:sz w:val="28"/>
          <w:szCs w:val="28"/>
        </w:rPr>
      </w:pPr>
      <w:r>
        <w:rPr>
          <w:rFonts w:hint="eastAsia" w:ascii="仿宋_GB2312" w:eastAsia="仿宋_GB2312" w:cs="Sim Sun"/>
          <w:b/>
          <w:bCs/>
          <w:kern w:val="0"/>
          <w:sz w:val="28"/>
          <w:szCs w:val="28"/>
        </w:rPr>
        <w:t>6</w:t>
      </w:r>
      <w:r>
        <w:rPr>
          <w:rFonts w:ascii="仿宋_GB2312" w:eastAsia="仿宋_GB2312" w:cs="Sim Sun"/>
          <w:b/>
          <w:bCs/>
          <w:kern w:val="0"/>
          <w:sz w:val="28"/>
          <w:szCs w:val="28"/>
        </w:rPr>
        <w:t>.2.5</w:t>
      </w:r>
      <w:r>
        <w:rPr>
          <w:rFonts w:ascii="仿宋_GB2312" w:eastAsia="仿宋_GB2312" w:cs="Sim Sun"/>
          <w:kern w:val="0"/>
          <w:sz w:val="28"/>
          <w:szCs w:val="28"/>
        </w:rPr>
        <w:t xml:space="preserve"> </w:t>
      </w:r>
      <w:r>
        <w:rPr>
          <w:rFonts w:hint="eastAsia" w:ascii="仿宋_GB2312" w:eastAsia="仿宋_GB2312" w:cs="Sim Sun"/>
          <w:kern w:val="0"/>
          <w:sz w:val="28"/>
          <w:szCs w:val="28"/>
        </w:rPr>
        <w:t>若被检产品明示的质量要求缺少本规范中检验项目依据的推荐性标准要求时，该项目不参与判定，但应在检验报告备注中进行说明。</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360" w:lineRule="auto"/>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360" w:lineRule="auto"/>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8.1</w:t>
      </w:r>
      <w:r>
        <w:rPr>
          <w:rFonts w:hint="eastAsia" w:ascii="仿宋_GB2312" w:hAnsi="宋体" w:eastAsia="仿宋_GB2312"/>
          <w:iCs/>
          <w:sz w:val="28"/>
          <w:szCs w:val="28"/>
        </w:rPr>
        <w:t xml:space="preserve"> 被抽查企业在收到检验结果，对结果有异议时，可以自收到检验结果之日起15日内向深圳市市场监督管理局提出书面复检申请。逾期未提出异议的，视为承认检验结果。</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8.2</w:t>
      </w:r>
      <w:r>
        <w:rPr>
          <w:rFonts w:hint="eastAsia" w:ascii="仿宋_GB2312" w:hAnsi="宋体" w:eastAsia="仿宋_GB2312"/>
          <w:iCs/>
          <w:sz w:val="28"/>
          <w:szCs w:val="28"/>
        </w:rPr>
        <w:t xml:space="preserve"> 检验机构接到深圳市市场监督管理局的复检通知书后应当按原监督抽查方案，核查不合格项目相关依据，能够以记录（纸质记录或电子记录或影像记录）、或与不合格项目相关联的其它质量数据等检验证据证明，并得到被检方认可的，做出维持原检验结果的结论。</w:t>
      </w:r>
    </w:p>
    <w:p>
      <w:pPr>
        <w:snapToGrid w:val="0"/>
        <w:spacing w:line="360" w:lineRule="auto"/>
        <w:rPr>
          <w:rFonts w:ascii="仿宋_GB2312" w:eastAsia="仿宋_GB2312" w:cs="Sim Sun"/>
          <w:iCs/>
          <w:kern w:val="0"/>
          <w:sz w:val="28"/>
          <w:szCs w:val="28"/>
        </w:rPr>
      </w:pPr>
      <w:r>
        <w:rPr>
          <w:rFonts w:hint="eastAsia" w:ascii="仿宋_GB2312" w:hAnsi="宋体" w:eastAsia="仿宋_GB2312"/>
          <w:b/>
          <w:iCs/>
          <w:sz w:val="28"/>
          <w:szCs w:val="28"/>
        </w:rPr>
        <w:t xml:space="preserve">8.3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360" w:lineRule="auto"/>
        <w:rPr>
          <w:rFonts w:ascii="仿宋_GB2312" w:eastAsia="仿宋_GB2312" w:cs="Sim Sun"/>
          <w:iCs/>
          <w:kern w:val="0"/>
          <w:sz w:val="28"/>
          <w:szCs w:val="28"/>
        </w:rPr>
      </w:pPr>
      <w:r>
        <w:rPr>
          <w:rFonts w:hint="eastAsia" w:ascii="仿宋_GB2312" w:eastAsia="仿宋_GB2312" w:cs="Sim Sun"/>
          <w:b/>
          <w:kern w:val="0"/>
          <w:sz w:val="28"/>
          <w:szCs w:val="28"/>
        </w:rPr>
        <w:t>8.4</w:t>
      </w:r>
      <w:r>
        <w:rPr>
          <w:rFonts w:hint="eastAsia" w:ascii="仿宋_GB2312" w:eastAsia="仿宋_GB2312" w:cs="Sim Sun"/>
          <w:kern w:val="0"/>
          <w:sz w:val="28"/>
          <w:szCs w:val="28"/>
        </w:rPr>
        <w:t>若复检机构与初检机构为同一家机构，则复检检验人员与初检检验人员不得为同一人（含审核人员）。</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 xml:space="preserve">8.5 </w:t>
      </w:r>
      <w:r>
        <w:rPr>
          <w:rFonts w:hint="eastAsia" w:ascii="仿宋_GB2312" w:hAnsi="宋体" w:eastAsia="仿宋_GB2312"/>
          <w:iCs/>
          <w:sz w:val="28"/>
          <w:szCs w:val="28"/>
        </w:rPr>
        <w:t>需对不合格项目复检时，按6.1选择复检样品。</w:t>
      </w:r>
    </w:p>
    <w:p>
      <w:pPr>
        <w:snapToGrid w:val="0"/>
        <w:spacing w:line="360" w:lineRule="auto"/>
        <w:rPr>
          <w:rFonts w:ascii="仿宋_GB2312" w:hAnsi="宋体" w:eastAsia="仿宋_GB2312"/>
          <w:iCs/>
          <w:sz w:val="28"/>
          <w:szCs w:val="28"/>
        </w:rPr>
      </w:pPr>
      <w:r>
        <w:rPr>
          <w:rFonts w:hint="eastAsia" w:ascii="仿宋_GB2312" w:hAnsi="宋体" w:eastAsia="仿宋_GB2312"/>
          <w:b/>
          <w:iCs/>
          <w:sz w:val="28"/>
          <w:szCs w:val="28"/>
        </w:rPr>
        <w:t>8.6</w:t>
      </w:r>
      <w:r>
        <w:rPr>
          <w:rFonts w:hint="eastAsia" w:ascii="仿宋_GB2312" w:hAnsi="宋体" w:eastAsia="仿宋_GB2312"/>
          <w:iCs/>
          <w:sz w:val="28"/>
          <w:szCs w:val="28"/>
        </w:rPr>
        <w:t xml:space="preserve"> 深圳市市场监督管理局根据初检、复检结果及企业提交的证明材料，做出复检结论，复检结论为最终结论。</w:t>
      </w:r>
    </w:p>
    <w:p>
      <w:pPr>
        <w:snapToGrid w:val="0"/>
        <w:spacing w:line="360" w:lineRule="auto"/>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360" w:lineRule="auto"/>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646E11"/>
    <w:rsid w:val="6D697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2020-08-19T03:12:00Z</dcterms:created>
  <dc:creator>changmy</dc:creator>
  <cp:lastModifiedBy>linhh</cp:lastModifiedBy>
  <dcterms:modified xsi:type="dcterms:W3CDTF">2022-02-21T06:24:17Z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