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 xml:space="preserve">附件1  </w:t>
      </w: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市市场监管局“证照分离”改革事项清单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（2021年版）</w:t>
      </w:r>
    </w:p>
    <w:tbl>
      <w:tblPr>
        <w:tblStyle w:val="6"/>
        <w:tblW w:w="142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3"/>
        <w:gridCol w:w="555"/>
        <w:gridCol w:w="495"/>
        <w:gridCol w:w="1078"/>
        <w:gridCol w:w="788"/>
        <w:gridCol w:w="1077"/>
        <w:gridCol w:w="645"/>
        <w:gridCol w:w="435"/>
        <w:gridCol w:w="420"/>
        <w:gridCol w:w="435"/>
        <w:gridCol w:w="435"/>
        <w:gridCol w:w="2021"/>
        <w:gridCol w:w="3000"/>
        <w:gridCol w:w="2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blHeader/>
          <w:jc w:val="center"/>
        </w:trPr>
        <w:tc>
          <w:tcPr>
            <w:tcW w:w="3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序号</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对应</w:t>
            </w:r>
            <w:r>
              <w:rPr>
                <w:rFonts w:hint="eastAsia" w:ascii="宋体" w:hAnsi="宋体" w:cs="宋体"/>
                <w:b/>
                <w:bCs/>
                <w:i w:val="0"/>
                <w:color w:val="auto"/>
                <w:kern w:val="0"/>
                <w:sz w:val="18"/>
                <w:szCs w:val="18"/>
                <w:highlight w:val="none"/>
                <w:u w:val="none"/>
                <w:lang w:val="en-US" w:eastAsia="zh-CN" w:bidi="ar"/>
              </w:rPr>
              <w:t>全国</w:t>
            </w:r>
            <w:r>
              <w:rPr>
                <w:rFonts w:hint="eastAsia" w:ascii="宋体" w:hAnsi="宋体" w:eastAsia="宋体" w:cs="宋体"/>
                <w:b/>
                <w:bCs/>
                <w:i w:val="0"/>
                <w:color w:val="auto"/>
                <w:kern w:val="0"/>
                <w:sz w:val="18"/>
                <w:szCs w:val="18"/>
                <w:highlight w:val="none"/>
                <w:u w:val="none"/>
                <w:lang w:val="en-US" w:eastAsia="zh-CN" w:bidi="ar"/>
              </w:rPr>
              <w:t>清单序号</w:t>
            </w:r>
          </w:p>
        </w:tc>
        <w:tc>
          <w:tcPr>
            <w:tcW w:w="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事项主管部门</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改革事项</w:t>
            </w:r>
          </w:p>
        </w:tc>
        <w:tc>
          <w:tcPr>
            <w:tcW w:w="7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许可证件</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名称</w:t>
            </w:r>
          </w:p>
        </w:tc>
        <w:tc>
          <w:tcPr>
            <w:tcW w:w="10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设定依据</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审批层级和部门</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改革方式</w:t>
            </w:r>
          </w:p>
        </w:tc>
        <w:tc>
          <w:tcPr>
            <w:tcW w:w="202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对应具体</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实施事项</w:t>
            </w:r>
          </w:p>
        </w:tc>
        <w:tc>
          <w:tcPr>
            <w:tcW w:w="300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248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blHeader/>
          <w:jc w:val="center"/>
        </w:trPr>
        <w:tc>
          <w:tcPr>
            <w:tcW w:w="3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直接</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取消</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审批</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审批</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改为</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备案</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实行</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告知</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承诺</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优化</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审批</w:t>
            </w:r>
            <w:r>
              <w:rPr>
                <w:rFonts w:hint="eastAsia" w:ascii="宋体" w:hAnsi="宋体" w:eastAsia="宋体" w:cs="宋体"/>
                <w:b/>
                <w:bCs/>
                <w:i w:val="0"/>
                <w:color w:val="auto"/>
                <w:kern w:val="0"/>
                <w:sz w:val="18"/>
                <w:szCs w:val="18"/>
                <w:highlight w:val="none"/>
                <w:u w:val="none"/>
                <w:lang w:val="en-US" w:eastAsia="zh-CN" w:bidi="ar"/>
              </w:rPr>
              <w:br w:type="textWrapping"/>
            </w:r>
            <w:r>
              <w:rPr>
                <w:rFonts w:hint="eastAsia" w:ascii="宋体" w:hAnsi="宋体" w:eastAsia="宋体" w:cs="宋体"/>
                <w:b/>
                <w:bCs/>
                <w:i w:val="0"/>
                <w:color w:val="auto"/>
                <w:kern w:val="0"/>
                <w:sz w:val="18"/>
                <w:szCs w:val="18"/>
                <w:highlight w:val="none"/>
                <w:u w:val="none"/>
                <w:lang w:val="en-US" w:eastAsia="zh-CN" w:bidi="ar"/>
              </w:rPr>
              <w:t>服务</w:t>
            </w:r>
          </w:p>
        </w:tc>
        <w:tc>
          <w:tcPr>
            <w:tcW w:w="202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p>
        </w:tc>
        <w:tc>
          <w:tcPr>
            <w:tcW w:w="30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具体改革措施</w:t>
            </w:r>
          </w:p>
        </w:tc>
        <w:tc>
          <w:tcPr>
            <w:tcW w:w="248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highlight w:val="none"/>
                <w:u w:val="none"/>
                <w:lang w:val="en-US" w:eastAsia="zh-CN" w:bidi="ar"/>
              </w:rPr>
            </w:pPr>
            <w:r>
              <w:rPr>
                <w:rFonts w:hint="eastAsia" w:ascii="宋体" w:hAnsi="宋体" w:eastAsia="宋体" w:cs="宋体"/>
                <w:b/>
                <w:bCs/>
                <w:i w:val="0"/>
                <w:color w:val="auto"/>
                <w:kern w:val="0"/>
                <w:sz w:val="18"/>
                <w:szCs w:val="18"/>
                <w:highlight w:val="none"/>
                <w:u w:val="none"/>
                <w:lang w:val="en-US" w:eastAsia="zh-CN" w:bidi="ar"/>
              </w:rPr>
              <w:t>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28</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拖拉机驾驶培训学校、驾驶培训班资格认定</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拖拉机驾驶培训许可证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《中华人民共和国道路交通安全法》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拖拉机驾驶培训许可证核发</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取消“拖拉机驾驶培训学校、驾驶培训班资格认定”。</w:t>
            </w:r>
            <w:r>
              <w:rPr>
                <w:rFonts w:hint="eastAsia" w:ascii="宋体" w:hAnsi="宋体" w:eastAsia="宋体" w:cs="宋体"/>
                <w:i w:val="0"/>
                <w:color w:val="auto"/>
                <w:kern w:val="0"/>
                <w:sz w:val="18"/>
                <w:szCs w:val="18"/>
                <w:highlight w:val="none"/>
                <w:u w:val="none"/>
                <w:lang w:val="en-US" w:eastAsia="zh-CN" w:bidi="ar"/>
              </w:rPr>
              <w:br w:type="textWrapping"/>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47</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广告发布登记</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关于准予广告发布登记的通知书</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《中华人民共和国广告法》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县级以上地方市场监管部门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广告发布申请登记</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取消“广告发布登记”。</w:t>
            </w:r>
            <w:r>
              <w:rPr>
                <w:rFonts w:hint="eastAsia" w:ascii="宋体" w:hAnsi="宋体" w:eastAsia="宋体" w:cs="宋体"/>
                <w:i w:val="0"/>
                <w:color w:val="auto"/>
                <w:kern w:val="0"/>
                <w:sz w:val="18"/>
                <w:szCs w:val="18"/>
                <w:highlight w:val="none"/>
                <w:u w:val="none"/>
                <w:lang w:val="en-US" w:eastAsia="zh-CN" w:bidi="ar"/>
              </w:rPr>
              <w:br w:type="textWrapping"/>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1.加大广告监测力度，发现广告发布机构发布虚假违法广告要依法查处。2.加强协同监管，联合有关部门共同做好广告发布机构监管工作。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广告发布变更登记</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8"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广告发布注销登记</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0" w:hRule="atLeast"/>
          <w:jc w:val="center"/>
        </w:trPr>
        <w:tc>
          <w:tcPr>
            <w:tcW w:w="35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3</w:t>
            </w:r>
          </w:p>
        </w:tc>
        <w:tc>
          <w:tcPr>
            <w:tcW w:w="55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73</w:t>
            </w:r>
          </w:p>
        </w:tc>
        <w:tc>
          <w:tcPr>
            <w:tcW w:w="49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肥料登记（大量元素水溶肥料、中量元素水溶肥料、微量元素水溶肥料、农用氯化钾镁、农用硫酸钾镁、复混肥料、掺混肥料）</w:t>
            </w:r>
          </w:p>
        </w:tc>
        <w:tc>
          <w:tcPr>
            <w:tcW w:w="78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肥料登记证</w:t>
            </w:r>
          </w:p>
        </w:tc>
        <w:tc>
          <w:tcPr>
            <w:tcW w:w="107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《中华人民共和国土壤污染防治法》</w:t>
            </w:r>
          </w:p>
        </w:tc>
        <w:tc>
          <w:tcPr>
            <w:tcW w:w="64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农业农村部；省级农业农村部门</w:t>
            </w:r>
          </w:p>
        </w:tc>
        <w:tc>
          <w:tcPr>
            <w:tcW w:w="43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43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无</w:t>
            </w:r>
          </w:p>
        </w:tc>
        <w:tc>
          <w:tcPr>
            <w:tcW w:w="300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对大量元素水溶肥料、中量元素水溶肥料、微量元素水溶肥料、农用氯化钾镁、农用硫酸钾镁、复混肥料、掺混肥料产品，取消许可准入管理，改为备案管理。</w:t>
            </w:r>
            <w:r>
              <w:rPr>
                <w:rFonts w:hint="eastAsia" w:ascii="宋体" w:hAnsi="宋体" w:eastAsia="宋体" w:cs="宋体"/>
                <w:i w:val="0"/>
                <w:color w:val="auto"/>
                <w:kern w:val="0"/>
                <w:sz w:val="18"/>
                <w:szCs w:val="18"/>
                <w:highlight w:val="none"/>
                <w:u w:val="none"/>
                <w:lang w:val="en-US" w:eastAsia="zh-CN" w:bidi="ar"/>
              </w:rPr>
              <w:br w:type="textWrapping"/>
            </w:r>
          </w:p>
        </w:tc>
        <w:tc>
          <w:tcPr>
            <w:tcW w:w="248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4</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78</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食品经营许可（仅销售预包装食品）</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《中华人民共和国食品安全法》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县级以上地方市场监管部门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食品经营许可证核发（除实施申请人承诺制的小餐饮之外的食品经营者</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1.对仅销售预包装食品的企业，取消食品经营许可，改为备案管理。2.将“食品经营备案（仅销售预包装食品）”纳入“多证合一”范围，在企业登记注册环节一并办理备案手续。</w:t>
            </w:r>
            <w:r>
              <w:rPr>
                <w:rFonts w:hint="eastAsia" w:ascii="宋体" w:hAnsi="宋体" w:eastAsia="宋体" w:cs="宋体"/>
                <w:i w:val="0"/>
                <w:color w:val="auto"/>
                <w:kern w:val="0"/>
                <w:sz w:val="18"/>
                <w:szCs w:val="18"/>
                <w:highlight w:val="none"/>
                <w:u w:val="none"/>
                <w:lang w:val="en-US" w:eastAsia="zh-CN" w:bidi="ar"/>
              </w:rPr>
              <w:br w:type="textWrapping"/>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9" w:hRule="atLeast"/>
          <w:jc w:val="center"/>
        </w:trPr>
        <w:tc>
          <w:tcPr>
            <w:tcW w:w="353"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食品经营许可证变更</w:t>
            </w:r>
          </w:p>
        </w:tc>
        <w:tc>
          <w:tcPr>
            <w:tcW w:w="300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食品经营许可证延续</w:t>
            </w:r>
          </w:p>
        </w:tc>
        <w:tc>
          <w:tcPr>
            <w:tcW w:w="300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1"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食品经营许可证注销</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108</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重要工业产品生产许可证核发（食品相关产品（压力锅））</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全国工业产品生产许可证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《中华人民共和国食品安全法》《中华人民共和国工业产品生产许可证管理条例》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省级市场监管部门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工业产品生产许可证核发（直接接触食品的材料等相关产品）</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制作并公布告知承诺书格式文本，一次性告知申请人许可条件和所需材料。对申请人自愿承诺符合许可条件并按要求提交材料的，当场作出许可决定。</w:t>
            </w:r>
            <w:r>
              <w:rPr>
                <w:rFonts w:hint="eastAsia" w:ascii="宋体" w:hAnsi="宋体" w:eastAsia="宋体" w:cs="宋体"/>
                <w:i w:val="0"/>
                <w:color w:val="auto"/>
                <w:kern w:val="0"/>
                <w:sz w:val="18"/>
                <w:szCs w:val="18"/>
                <w:highlight w:val="none"/>
                <w:u w:val="none"/>
                <w:lang w:val="en-US" w:eastAsia="zh-CN" w:bidi="ar"/>
              </w:rPr>
              <w:br w:type="textWrapping"/>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对通过告知承诺取得许可证（包括许可范围变更）的企业开展例行检查，发现虚假承诺或者承诺严重不实的要依法处理。2.对许可有效期届满延期换证的企业，在日常监管中核查承诺情况。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237</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生鲜乳准运证明核发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生鲜乳准运证明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《乳品质量安全监督管理条例》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县级农业农村（畜牧兽医）部门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生鲜乳准运证明核发</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1.将生鲜乳准运证明有效期由1年延长至2年。2.制作并公布告知承诺书格式文本，一次性告知申请人许可条件和所需材料。对申请人自愿承诺符合许可条件并按要求提交材料的，当场作出许可决定。</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1.开展“双随机、一公开”监管，发现违法违规行为要依法查处并公开结果。2.加强对生鲜乳运输车辆的监管，将车辆全部纳入监管监测信息系统，实时掌握运营情况。</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7</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238</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生鲜乳收购站许可</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生鲜乳收购许可证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《乳品质量安全监督管理条例》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县级农业农村（畜牧兽医）部门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生鲜乳收购许可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将审批时限由20个工作日压减至</w:t>
            </w:r>
            <w:r>
              <w:rPr>
                <w:rFonts w:hint="eastAsia" w:ascii="宋体" w:hAnsi="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个工作日。</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1.开展“双随机、一公开”监管，发现违法违规行为要依法查处并公开结果。2.加强对生鲜乳收购站的监管，将其全部纳入监管监测信息系统，实时掌握收购、运营情况。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2"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8</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239</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农作物种子、食用菌菌种生产经营许可证核发</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农作物种子、食用菌菌种生产经营许可证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《中华人民共和国种子法》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仿宋_GB2312" w:hAnsi="宋体" w:eastAsia="仿宋_GB2312" w:cs="仿宋_GB2312"/>
                <w:color w:val="auto"/>
                <w:kern w:val="0"/>
                <w:highlight w:val="none"/>
              </w:rPr>
              <w:t>√</w:t>
            </w: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实行选育</w:t>
            </w:r>
            <w:r>
              <w:rPr>
                <w:rFonts w:hint="default" w:ascii="宋体" w:hAnsi="宋体" w:cs="宋体"/>
                <w:i w:val="0"/>
                <w:color w:val="auto"/>
                <w:kern w:val="0"/>
                <w:sz w:val="18"/>
                <w:szCs w:val="18"/>
                <w:highlight w:val="none"/>
                <w:u w:val="none"/>
                <w:lang w:eastAsia="zh-CN" w:bidi="ar"/>
              </w:rPr>
              <w:t>生产经营相结合许</w:t>
            </w:r>
            <w:r>
              <w:rPr>
                <w:rFonts w:hint="eastAsia" w:ascii="宋体" w:hAnsi="宋体" w:eastAsia="宋体" w:cs="宋体"/>
                <w:i w:val="0"/>
                <w:color w:val="auto"/>
                <w:kern w:val="0"/>
                <w:sz w:val="18"/>
                <w:szCs w:val="18"/>
                <w:highlight w:val="none"/>
                <w:u w:val="none"/>
                <w:lang w:val="en-US" w:eastAsia="zh-CN" w:bidi="ar"/>
              </w:rPr>
              <w:t>可证核发</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取消“食用菌菌种生产经营许可证核发”。</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3.加强信用监管，依法向社会公布种业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主要农作物杂交种子及其亲本种子生产经营许可证核发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6"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非主要农作物及主要农作物常规种的农作物种子生产经营许可证核发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6"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9</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250</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种畜禽生产经营许可</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种畜禽生产经营许可证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《中华人民共和国畜牧法》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种蜂生产经营单位和个人的种畜禽生产经营许可证核发</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不再要求申请人提供营业执照、法定代表人身份证等材料，通过部门间信息共享获取相关信息。2.制作并公布告知承诺书格式文本，一次性告知申请人许可条件和所需材料。对申请人自愿承诺符合许可条件并按要求提交材料的，当场作出许可决定。</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原种、祖代种禽场和原种畜场、种畜扩繁场的种畜禽生产经营许可证核发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9"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商品代仔畜生产场、商品代雏禽生产场（含父母代种禽场、禽蛋孵化场）的种畜禽生产经营许可证核发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251</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蜂种生产经营许可证核发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蜂种生产经营许可证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《中华人民共和国畜牧法》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不再要求申请人提供营业执照、法定代表人身份证等材料，通过部门间信息共享获取相关信息。2.制作并公布告知承诺书格式文本，一次性告知申请人许可条件和所需材料。对申请人自愿承诺符合许可条件并按要求提交材料的，当场作出许可决定。</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11</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蚕种生产经营许可证核发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蚕种生产经营许可证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《中华人民共和国畜牧法》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无</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jc w:val="both"/>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取消“蚕种生产经营许可证核发”。</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12</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254</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兽药经营许可证核发（非生物制品类）</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兽药经营许可证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设区的市、县级农业农村部门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兽药经营许可（中、化药类）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1.将审批时限由30个工作日压减至</w:t>
            </w:r>
            <w:r>
              <w:rPr>
                <w:rFonts w:hint="eastAsia" w:ascii="宋体" w:hAnsi="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个工作日。2.制作并公布告知承诺书格式文本，一次性告知申请人许可条件和所需材料。对申请人自愿承诺符合许可条件并按要求提交材料的，当场作出许可决定。</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对风险等级高的领域、投诉举报多的企业增加监督检查次数和抽检兽药数量，实施重点监管。3.对以告知承诺方式取得经营许可证的企业，加强对其承诺内容真实性的核查，发现虚假承诺或承诺严重不实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13</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255</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动物诊疗许可证核发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动物诊疗许可证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《中华人民共和国动物防疫法》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动物诊疗许可证核发</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1.将审批时限由20个工作日压减至</w:t>
            </w:r>
            <w:r>
              <w:rPr>
                <w:rFonts w:hint="eastAsia" w:ascii="宋体" w:hAnsi="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个工作日。2.制作并公布告知承诺书格式文本，一次性告知申请人许可条件和所需材料。对申请人自愿承诺符合许可条件并按要求提交材料的，当场作出许可决定。</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强化社会监督，依法及时处理投诉举报。3.加强行业监测，针对发现的普遍性问题和突出风险开展专项行动，确保不发生系统性、区域性风险。3.对以告知承诺方式取得经营许可证的企业，加强对其承诺内容真实性的核查，发现虚假承诺或承诺严重不实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1"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14</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259</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《农药管理条例》</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w:t>
            </w:r>
            <w:r>
              <w:rPr>
                <w:rFonts w:hint="eastAsia" w:ascii="宋体" w:hAnsi="宋体" w:cs="宋体"/>
                <w:i w:val="0"/>
                <w:color w:val="auto"/>
                <w:kern w:val="0"/>
                <w:sz w:val="18"/>
                <w:szCs w:val="18"/>
                <w:highlight w:val="none"/>
                <w:u w:val="none"/>
                <w:lang w:val="en-US" w:eastAsia="zh-CN" w:bidi="ar"/>
              </w:rPr>
              <w:t>证申请（农药、限制使用农药除外）</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1.实现申请、审批网上办理。2.不再要求申请人同时提供申请材料的纸质文件和电子文档。</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w:t>
            </w:r>
            <w:r>
              <w:rPr>
                <w:rFonts w:hint="eastAsia" w:ascii="宋体" w:hAnsi="宋体" w:cs="宋体"/>
                <w:i w:val="0"/>
                <w:color w:val="auto"/>
                <w:kern w:val="0"/>
                <w:sz w:val="18"/>
                <w:szCs w:val="18"/>
                <w:highlight w:val="none"/>
                <w:u w:val="none"/>
                <w:lang w:val="en-US" w:eastAsia="zh-CN" w:bidi="ar"/>
              </w:rPr>
              <w:t>证变更</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w:t>
            </w:r>
            <w:r>
              <w:rPr>
                <w:rFonts w:hint="eastAsia" w:ascii="宋体" w:hAnsi="宋体" w:cs="宋体"/>
                <w:i w:val="0"/>
                <w:color w:val="auto"/>
                <w:kern w:val="0"/>
                <w:sz w:val="18"/>
                <w:szCs w:val="18"/>
                <w:highlight w:val="none"/>
                <w:u w:val="none"/>
                <w:lang w:val="en-US" w:eastAsia="zh-CN" w:bidi="ar"/>
              </w:rPr>
              <w:t>证延续</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w:t>
            </w:r>
            <w:r>
              <w:rPr>
                <w:rFonts w:hint="eastAsia" w:ascii="宋体" w:hAnsi="宋体" w:cs="宋体"/>
                <w:i w:val="0"/>
                <w:color w:val="auto"/>
                <w:kern w:val="0"/>
                <w:sz w:val="18"/>
                <w:szCs w:val="18"/>
                <w:highlight w:val="none"/>
                <w:u w:val="none"/>
                <w:lang w:val="en-US" w:eastAsia="zh-CN" w:bidi="ar"/>
              </w:rPr>
              <w:t>证注销</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农药经营许可</w:t>
            </w:r>
            <w:r>
              <w:rPr>
                <w:rFonts w:hint="eastAsia" w:ascii="宋体" w:hAnsi="宋体" w:cs="宋体"/>
                <w:i w:val="0"/>
                <w:color w:val="auto"/>
                <w:kern w:val="0"/>
                <w:sz w:val="18"/>
                <w:szCs w:val="18"/>
                <w:highlight w:val="none"/>
                <w:u w:val="none"/>
                <w:lang w:val="en-US" w:eastAsia="zh-CN" w:bidi="ar"/>
              </w:rPr>
              <w:t>证补发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8"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15</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260</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肥料登记（除大量元素水溶肥料、中量元素水溶肥料、微量元素水溶肥料、农用氯化钾镁、农用硫酸钾镁、复混肥料、掺混肥料外）</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肥料登记证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《中华人民共和国农业法》《中华人民共和国农产品质量安全法》《中华人民共和国土壤污染防治法》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农业农村部；省级农业农村部门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配方肥（不含叶面肥）、精制有机肥、床土调酸剂的登记审批（新申请）</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1.在肥料首次登记和变更登记时，不再要求申请人提供肥料产品登记申请单。2.在续展登记时，不再要求申请人提供肥料产品登记申请单和加盖申请人公章的肥料登记证复印件。</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8"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配方肥（不含叶面肥）、精制有机肥、床土调酸剂的登记审批（变更）</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4"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配方肥（不含叶面肥）、精制有机肥、床土调酸剂的登记审批（续展）</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16</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261</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从事饲料、饲料添加剂生产的企业审批</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饲料生产许可证、饲料添加剂生产许可证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《饲料和饲料添加剂管理条例》</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省级农业农村部门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浓缩饲料、配合饲料、精料补充料生产许可证核发</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不再要求申请人提供人员资质证明、营业执照等材料。</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单一饲料生产许可证核发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饲料添加剂（不含混合型饲料添加剂）产品批准文号核发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17</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动物防疫条件合格证核发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动物防疫条件合格证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《中华人民共和国动物防疫法》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动物防疫条件合格证核发</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1.实现申请、审批网上办理。2.将审批时限由20个工作日压减至</w:t>
            </w:r>
            <w:r>
              <w:rPr>
                <w:rFonts w:hint="eastAsia" w:ascii="宋体" w:hAnsi="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个工作日。</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264</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采集、出售、收购国家二级保护野生植物（农业类）审批</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国家重点保护野生植物采集许可证，出售、收购国家二级保护野生植物许可文件</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《中华人民共和国野生植物保护条例》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采集、出售、收购国家二级保护野生植物（农业类）审批</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不再要求申请人提供营业执照、法定代表人身份证等材料，通过部门间信息共享获取相关信息。</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加强信用监管，依法依规对失信主体开展失信惩戒。3.对风险等级较高、信用等级较低的企业实施重点监管。4.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19</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268</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农业农村部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兽药经营许可证核发（生物制品类）</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兽药经营许可证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省级农业农村部门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兽药经营许可（生物制品类）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1.实现申请、审批网上办理，提高服务便民化水平。2.将审批时限由30个工作日压减至</w:t>
            </w:r>
            <w:r>
              <w:rPr>
                <w:rFonts w:hint="eastAsia" w:ascii="宋体" w:hAnsi="宋体" w:cs="宋体"/>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个工作日。</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1.开展“双随机、一公开”监管，对风险等级高、投诉举报多的企业增加抽检数量和频次，实施重点监管。2.强化社会监督，依法及时处理举报、投诉问题，调查处理结果向社会公开。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承担国家法定计量检定机构任务授权审批</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计量授权证书</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《中华人民共和国计量法》</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县级以上市场监管部门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√（自贸试验区内）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承担国家法定计量检定机构任务授权</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21</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353</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食品经营许可（除仅销售预包装食品外）</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《中华人民共和国食品安全法》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县级以上地方市场监管部门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食品经营许可证核发（除实施申请人承诺制的小餐饮之外的食品经营者）</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1.餐饮服务经营者销售预包装食品的，不需要申请在许可证上标注销售类食品经营项目。2.不再要求申请人提供营业执照复印件</w:t>
            </w:r>
            <w:r>
              <w:rPr>
                <w:rFonts w:hint="eastAsia" w:ascii="宋体" w:hAnsi="宋体" w:cs="宋体"/>
                <w:i w:val="0"/>
                <w:color w:val="auto"/>
                <w:kern w:val="0"/>
                <w:sz w:val="18"/>
                <w:szCs w:val="18"/>
                <w:highlight w:val="none"/>
                <w:u w:val="none"/>
                <w:lang w:val="en-US" w:eastAsia="zh-CN" w:bidi="ar"/>
              </w:rPr>
              <w:t>等可通过共享信息采集的有关证照</w:t>
            </w:r>
            <w:bookmarkStart w:id="0" w:name="_GoBack"/>
            <w:bookmarkEnd w:id="0"/>
            <w:r>
              <w:rPr>
                <w:rFonts w:hint="eastAsia" w:ascii="宋体" w:hAnsi="宋体" w:eastAsia="宋体" w:cs="宋体"/>
                <w:i w:val="0"/>
                <w:color w:val="auto"/>
                <w:kern w:val="0"/>
                <w:sz w:val="18"/>
                <w:szCs w:val="18"/>
                <w:highlight w:val="none"/>
                <w:u w:val="none"/>
                <w:lang w:val="en-US" w:eastAsia="zh-CN" w:bidi="ar"/>
              </w:rPr>
              <w:t>。</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1.严格执行有关法律法规和标准，发挥网格化管理的优势，发现违法违规行为要依法严查重处并公开结果。2.加强信用监管，依法向社会公布食品经营企业信用状况，依法依规对失信主体开展失信惩戒。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食品经营许可证核发（实施申请人承诺制的小餐饮）</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食品经营许可证变更</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食品经营许可证延续</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食品经营许可证注销</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22</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354</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食品（含食品添加剂）生产许可</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食品生产许可证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《中华人民共和国食品安全法》</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县级以上地方市场监管部门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√（低风险食品）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食品生产许可证核发</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除特殊食品（包括保健食品、婴幼儿配方食品和特殊医学用途配方食品）、婴幼儿辅助食品、食盐外，将审批权限由省级市场监管部门下放至设区的市、县级市场监管部门。2.实现申请、审批全程网上办理。3.不再要求申请人提供营业执照、食品安全管理制度文本等材料，但申请特殊食品生产许可的应提交与所生产食品相适应的生产质量管理体系文件4、将审批时限由20个工作日压减至8个工作日。5、实现食品生产许可证电子证书。6、《食品生产许可证》仍在有效期内，但没按规定提前30个工作日申请延续而按新办程序办理许可的，现场核查时，不要求提供试产产品检验报告。7.对于低风险食品（非即食类食品分装）及依法取得许可后申请减少许可食品类别或食品品种的，申请人自愿承诺符合许可条件并按要求提交材料的，当场作出许可决定。。</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加大信息公示力度，向社会公开食品生产许可信息。2.加强日常监督检查，根据食品生产企业风险分级情况确定检查频次，开展监督检查并向社会公开检查结果。3.加强信用监管，依法依规对失信主体开展失信惩戒。4.对通过告知承诺方式获得许可证的企业，在发放许可证后</w:t>
            </w:r>
            <w:r>
              <w:rPr>
                <w:rFonts w:hint="default" w:ascii="宋体" w:hAnsi="宋体" w:cs="宋体"/>
                <w:i w:val="0"/>
                <w:color w:val="auto"/>
                <w:kern w:val="0"/>
                <w:sz w:val="18"/>
                <w:szCs w:val="18"/>
                <w:highlight w:val="none"/>
                <w:u w:val="none"/>
                <w:lang w:eastAsia="zh-CN" w:bidi="ar"/>
              </w:rPr>
              <w:t>30个工作日内</w:t>
            </w:r>
            <w:r>
              <w:rPr>
                <w:rFonts w:hint="eastAsia" w:ascii="宋体" w:hAnsi="宋体" w:eastAsia="宋体" w:cs="宋体"/>
                <w:i w:val="0"/>
                <w:color w:val="auto"/>
                <w:kern w:val="0"/>
                <w:sz w:val="18"/>
                <w:szCs w:val="18"/>
                <w:highlight w:val="none"/>
                <w:u w:val="none"/>
                <w:lang w:val="en-US" w:eastAsia="zh-CN" w:bidi="ar"/>
              </w:rPr>
              <w:t>实施监督检查，对检查发现不能保证食品安全的企业撤销食品生产许可，对违法违规企业依法查处。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食品生产许可证变更</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6"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食品生产许可证延续</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9"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食品生产许可证注销</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23</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355</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重要工业产品（除食品相关产品、化肥外）生产许可证核发</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重要工业产品生产许可证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《中华人民共和国工业产品生产许可证管理条例》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市场监管总局；省级市场监管部门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危险化学品包装物、容器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将发证机关组织的发证前产品检验改为由企业在申请时提交具有资质的检验检测机构出具的产品检验合格报告。2.实现申请、审批全程网上办理。3.在审批环节不再开展现场审查，企业提交申请单、产品检验合格报告、符合法律法规要求和保障质量安全承诺书后，经形式审查合格即发放许可证。</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356</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特种设备检验检测机构核准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特种设备检验检测机构核准证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《中华人民共和国特种设备安全法》《特种设备安全监察条例》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市场监管总局；省级市场监管部门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房屋建筑工地和市政工程工地用起重机械、场（厂）内专用机动车辆检验检测机构资格核准</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1.开展“双随机、一公开”监管，对存在违法违规行为的，依法查处并公开结果。2.对有投诉举报和质量问题的单位实施重点监管。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75"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357</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特种设备生产单位许可</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特种设备生产许可证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《中华人民共和国特种设备安全法》《国务院对确需保留的行政审批项目设定行政许可的决定》《特种设备安全监察条例》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市场监管总局；省级市场监管部门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color w:val="auto"/>
                <w:sz w:val="20"/>
                <w:szCs w:val="22"/>
              </w:rPr>
              <w:t>电梯安装改造修理单位资格许可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对存在违法违规行为的，依法查处并公开结果。2.对有投诉举报和质量问题的单位实施重点监管。3.检验检测机构在开展型式试验和监督检验时对持证生产单位是否符合许可条件进行检查，发现问题及时报告有关部门。4.针对通过自愿承诺申请直接换证的生产单位，对提交的申请材料中有虚假内容的，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26</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358</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市场监管总局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移动式压力容器、气瓶充装单位许可</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移动式压力容器充装许可证、气瓶充装许可证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《中华人民共和国特种设备安全法》《特种设备安全监察条例》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省级市场监管部门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color w:val="auto"/>
                <w:sz w:val="20"/>
                <w:szCs w:val="22"/>
              </w:rPr>
              <w:t>气瓶、移动式压力容器充装单位许可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开展“双随机、一公开”监管，对存在违法违规行为的，依法查处并公开结果。2.对有投诉举报和发生充装事故的企业实施重点监管。3.针对通过自愿承诺申请直接换证的充装单位，对提交的申请材料中有虚假内容的，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27</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495</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国家药监局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药品零售企业许可</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药品经营许可证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《中华人民共和国药品管理法》《中华人民共和国药品管理法实施条例》</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设区的市、县级药监部门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药品经营许可证核准（零售）</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1.不再向药监部门申请办理筹建审批，直接申请办理药品经营许可。2.不再要求申请人提供营业执照等材料。3.</w:t>
            </w:r>
            <w:r>
              <w:rPr>
                <w:rFonts w:hint="eastAsia" w:ascii="宋体" w:hAnsi="宋体" w:cs="宋体"/>
                <w:i w:val="0"/>
                <w:color w:val="auto"/>
                <w:kern w:val="0"/>
                <w:sz w:val="18"/>
                <w:szCs w:val="18"/>
                <w:highlight w:val="none"/>
                <w:u w:val="none"/>
                <w:lang w:val="en-US" w:eastAsia="zh-CN" w:bidi="ar"/>
              </w:rPr>
              <w:t>开办仅</w:t>
            </w:r>
            <w:r>
              <w:rPr>
                <w:rFonts w:hint="eastAsia" w:ascii="宋体" w:hAnsi="宋体" w:eastAsia="宋体" w:cs="宋体"/>
                <w:i w:val="0"/>
                <w:color w:val="auto"/>
                <w:kern w:val="0"/>
                <w:sz w:val="18"/>
                <w:szCs w:val="18"/>
                <w:highlight w:val="none"/>
                <w:u w:val="none"/>
                <w:lang w:val="en-US" w:eastAsia="zh-CN" w:bidi="ar"/>
              </w:rPr>
              <w:t>经营乙类非处方药的零售企业审批实施告知承诺制，免于现场验收。</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药品经营许可证变更（零售）</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药品经营许可证换证（零售）</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药品经营许可证注销（零售）</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jc w:val="center"/>
        </w:trPr>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28</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505</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国家药监局</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第二类精神药品零售业务审批</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批准文件，在药品经营许可证经营范围中注明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《麻醉药品和精神药品管理条例》</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设区的市级药监部门</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不再要求申请人提供药品经营许可证、药品经营质量管理规范（GSP）证书等材料。</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2"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29</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510</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国家药监局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第三类医疗器械经营许可</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医疗器械经营许可证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《医疗器械监督管理条例》</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设区的市级药监部门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医疗器械经营许可证（第三类医疗器械）核发</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将审批时限由30个工作日压减至20个工作日。</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加大执法检查力度，督促企业严格落实医疗器械经营质量管理规范要求，发现违法违规行为要依法严查重处。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医疗器械经营许可证（第三类医疗器械）变更</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医疗器械经营许可证（第三类医疗器械）延续</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医疗器械经营许可证（第三类医疗器械）注销</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sz w:val="18"/>
                <w:szCs w:val="18"/>
                <w:highlight w:val="none"/>
                <w:u w:val="none"/>
              </w:rPr>
              <w:t>第三类医疗器械经营许可证补发</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3" w:hRule="atLeast"/>
          <w:jc w:val="center"/>
        </w:trPr>
        <w:tc>
          <w:tcPr>
            <w:tcW w:w="3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30</w:t>
            </w:r>
          </w:p>
        </w:tc>
        <w:tc>
          <w:tcPr>
            <w:tcW w:w="5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511</w:t>
            </w:r>
          </w:p>
        </w:tc>
        <w:tc>
          <w:tcPr>
            <w:tcW w:w="4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国家药监局</w:t>
            </w:r>
          </w:p>
        </w:tc>
        <w:tc>
          <w:tcPr>
            <w:tcW w:w="10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化妆品生产许可</w:t>
            </w:r>
          </w:p>
        </w:tc>
        <w:tc>
          <w:tcPr>
            <w:tcW w:w="7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化妆品生产许可证</w:t>
            </w:r>
          </w:p>
        </w:tc>
        <w:tc>
          <w:tcPr>
            <w:tcW w:w="10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《化妆品监督管理条例》</w:t>
            </w:r>
          </w:p>
        </w:tc>
        <w:tc>
          <w:tcPr>
            <w:tcW w:w="64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省级药监部门</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√（延续）　</w:t>
            </w:r>
          </w:p>
        </w:tc>
        <w:tc>
          <w:tcPr>
            <w:tcW w:w="4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20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化妆品生产许可核发</w:t>
            </w:r>
          </w:p>
        </w:tc>
        <w:tc>
          <w:tcPr>
            <w:tcW w:w="30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实现申请、审批全程网上办理，推广使用电子证照。2.不再要求申请人提供营业执照等材料，通过部门间信息共享获取相关信息。3.将审批时限由60个工作日压减至30个工作日，鼓励各地进一步压减化妆品生产许可证登记项目变更补发、注销等事项的审批时限，直至实现当场办结。4.制作并公布告知承诺书格式文本，一次性告知申请人许可条件和所需材料。对申请人自愿承诺符合许可条件并按要求提交材料的，当场作出许可决定。</w:t>
            </w:r>
          </w:p>
        </w:tc>
        <w:tc>
          <w:tcPr>
            <w:tcW w:w="24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353"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化妆品生产许可证变更</w:t>
            </w:r>
          </w:p>
        </w:tc>
        <w:tc>
          <w:tcPr>
            <w:tcW w:w="300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化妆品生产许可证延续</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jc w:val="center"/>
        </w:trPr>
        <w:tc>
          <w:tcPr>
            <w:tcW w:w="3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78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10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64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化妆品生产许可证注销</w:t>
            </w:r>
          </w:p>
        </w:tc>
        <w:tc>
          <w:tcPr>
            <w:tcW w:w="30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48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jc w:val="center"/>
        </w:trPr>
        <w:tc>
          <w:tcPr>
            <w:tcW w:w="353"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31</w:t>
            </w:r>
          </w:p>
        </w:tc>
        <w:tc>
          <w:tcPr>
            <w:tcW w:w="555"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3（省设定许可清单）</w:t>
            </w:r>
          </w:p>
        </w:tc>
        <w:tc>
          <w:tcPr>
            <w:tcW w:w="495" w:type="dxa"/>
            <w:vMerge w:val="restart"/>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default" w:ascii="Times New Roman" w:hAnsi="Times New Roman" w:eastAsia="宋体" w:cs="Times New Roman"/>
                <w:i w:val="0"/>
                <w:color w:val="auto"/>
                <w:kern w:val="0"/>
                <w:sz w:val="20"/>
                <w:szCs w:val="20"/>
                <w:highlight w:val="none"/>
                <w:u w:val="none"/>
                <w:lang w:val="en-US" w:eastAsia="zh-CN"/>
              </w:rPr>
              <w:t>广东省市场监督管理局</w:t>
            </w:r>
          </w:p>
        </w:tc>
        <w:tc>
          <w:tcPr>
            <w:tcW w:w="1078" w:type="dxa"/>
            <w:vMerge w:val="restart"/>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default" w:ascii="Times New Roman" w:hAnsi="Times New Roman" w:eastAsia="宋体" w:cs="Times New Roman"/>
                <w:i w:val="0"/>
                <w:color w:val="auto"/>
                <w:kern w:val="0"/>
                <w:sz w:val="20"/>
                <w:szCs w:val="20"/>
                <w:highlight w:val="none"/>
                <w:u w:val="none"/>
                <w:lang w:val="en-US" w:eastAsia="zh-CN"/>
              </w:rPr>
              <w:t>食品生产加工小作坊登记</w:t>
            </w:r>
          </w:p>
        </w:tc>
        <w:tc>
          <w:tcPr>
            <w:tcW w:w="788" w:type="dxa"/>
            <w:vMerge w:val="restart"/>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default" w:ascii="Times New Roman" w:hAnsi="Times New Roman" w:eastAsia="宋体" w:cs="Times New Roman"/>
                <w:i w:val="0"/>
                <w:color w:val="auto"/>
                <w:kern w:val="0"/>
                <w:sz w:val="20"/>
                <w:szCs w:val="20"/>
                <w:highlight w:val="none"/>
                <w:u w:val="none"/>
                <w:lang w:val="en-US" w:eastAsia="zh-CN"/>
              </w:rPr>
              <w:t>食品生产加工小作坊登记</w:t>
            </w:r>
            <w:r>
              <w:rPr>
                <w:rFonts w:hint="eastAsia" w:ascii="Times New Roman" w:hAnsi="Times New Roman" w:cs="Times New Roman"/>
                <w:i w:val="0"/>
                <w:color w:val="auto"/>
                <w:kern w:val="0"/>
                <w:sz w:val="20"/>
                <w:szCs w:val="20"/>
                <w:highlight w:val="none"/>
                <w:u w:val="none"/>
                <w:lang w:val="en-US" w:eastAsia="zh-CN"/>
              </w:rPr>
              <w:t>证</w:t>
            </w:r>
          </w:p>
        </w:tc>
        <w:tc>
          <w:tcPr>
            <w:tcW w:w="1077" w:type="dxa"/>
            <w:vMerge w:val="restart"/>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default" w:ascii="Times New Roman" w:hAnsi="Times New Roman" w:eastAsia="宋体" w:cs="Times New Roman"/>
                <w:i w:val="0"/>
                <w:color w:val="auto"/>
                <w:kern w:val="0"/>
                <w:sz w:val="20"/>
                <w:szCs w:val="20"/>
                <w:highlight w:val="none"/>
                <w:u w:val="none"/>
                <w:lang w:val="en-US" w:eastAsia="zh-CN"/>
              </w:rPr>
              <w:t>《广东省食品生产加工小作坊和食品摊贩管理条例》（广东省第十二届人民代表大会常务委员公告第38号）</w:t>
            </w:r>
          </w:p>
        </w:tc>
        <w:tc>
          <w:tcPr>
            <w:tcW w:w="645" w:type="dxa"/>
            <w:vMerge w:val="restart"/>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县级市场监管部门</w:t>
            </w:r>
          </w:p>
        </w:tc>
        <w:tc>
          <w:tcPr>
            <w:tcW w:w="435" w:type="dxa"/>
            <w:vMerge w:val="restart"/>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vMerge w:val="restart"/>
            <w:tcBorders>
              <w:top w:val="single" w:color="auto" w:sz="4" w:space="0"/>
              <w:left w:val="single" w:color="000000"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restart"/>
            <w:tcBorders>
              <w:top w:val="single" w:color="auto" w:sz="4" w:space="0"/>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restart"/>
            <w:tcBorders>
              <w:top w:val="single" w:color="auto"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rPr>
              <w:t>√</w:t>
            </w:r>
          </w:p>
        </w:tc>
        <w:tc>
          <w:tcPr>
            <w:tcW w:w="202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食品生产加工小作坊登记证核发</w:t>
            </w:r>
          </w:p>
        </w:tc>
        <w:tc>
          <w:tcPr>
            <w:tcW w:w="3000" w:type="dxa"/>
            <w:vMerge w:val="restart"/>
            <w:tcBorders>
              <w:top w:val="single" w:color="auto" w:sz="4" w:space="0"/>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rPr>
            </w:pPr>
            <w:r>
              <w:rPr>
                <w:rFonts w:hint="eastAsia" w:ascii="宋体" w:hAnsi="宋体" w:eastAsia="宋体" w:cs="宋体"/>
                <w:i w:val="0"/>
                <w:color w:val="auto"/>
                <w:kern w:val="0"/>
                <w:sz w:val="18"/>
                <w:szCs w:val="18"/>
                <w:highlight w:val="none"/>
                <w:u w:val="none"/>
                <w:lang w:val="en-US" w:eastAsia="zh-CN" w:bidi="ar"/>
              </w:rPr>
              <w:t>1.完善食品小作坊法律法规与制度。2.完善食品小作坊登记制度，优化食品小作坊登记程序，精简申报材料、压缩工作时限。3.完善食品小作坊信息化管理，逐步推进食品小作坊登记全流程网上办理与电子登记证。</w:t>
            </w:r>
          </w:p>
        </w:tc>
        <w:tc>
          <w:tcPr>
            <w:tcW w:w="2481" w:type="dxa"/>
            <w:vMerge w:val="restart"/>
            <w:tcBorders>
              <w:top w:val="single" w:color="auto" w:sz="4" w:space="0"/>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rPr>
            </w:pPr>
            <w:r>
              <w:rPr>
                <w:rFonts w:hint="eastAsia" w:ascii="Times New Roman" w:hAnsi="Times New Roman" w:eastAsia="宋体" w:cs="Times New Roman"/>
                <w:i w:val="0"/>
                <w:color w:val="auto"/>
                <w:kern w:val="0"/>
                <w:sz w:val="20"/>
                <w:szCs w:val="20"/>
                <w:highlight w:val="none"/>
                <w:u w:val="none"/>
                <w:lang w:val="en-US" w:eastAsia="zh-CN"/>
              </w:rPr>
              <w:t>1.建立食品小作坊禁止生产加工目录动态调整机制。 2.建立推行食品小作坊监管与抽检计划向社会公示制度。3.强化食品小作坊风险隐患排查。4.加强食品小作坊监督抽检及风险监测。5.实施食品小作坊风险分类管理。6.严查食品小作坊违法违规行为。7.强化食品小作坊规范生产指导。8.推进食品小作坊集中加工区（集聚区）或集约化管理建设工作。9.落实食品小作坊食品安全各方责任。10.推动食品小作坊社会共治。</w:t>
            </w:r>
          </w:p>
          <w:p>
            <w:pPr>
              <w:widowControl/>
              <w:wordWrap/>
              <w:adjustRightInd/>
              <w:snapToGrid/>
              <w:spacing w:line="24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jc w:val="center"/>
        </w:trPr>
        <w:tc>
          <w:tcPr>
            <w:tcW w:w="353"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eastAsia" w:ascii="宋体" w:hAnsi="宋体" w:cs="宋体"/>
                <w:i w:val="0"/>
                <w:color w:val="auto"/>
                <w:kern w:val="0"/>
                <w:sz w:val="18"/>
                <w:szCs w:val="18"/>
                <w:highlight w:val="none"/>
                <w:u w:val="none"/>
                <w:lang w:val="en-US" w:eastAsia="zh-CN" w:bidi="ar"/>
              </w:rPr>
            </w:pP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78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7"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64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vMerge w:val="continue"/>
            <w:tcBorders>
              <w:left w:val="single" w:color="000000"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食品生产加工小作坊登记证变更</w:t>
            </w:r>
          </w:p>
        </w:tc>
        <w:tc>
          <w:tcPr>
            <w:tcW w:w="3000"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2481"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jc w:val="center"/>
        </w:trPr>
        <w:tc>
          <w:tcPr>
            <w:tcW w:w="353"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eastAsia" w:ascii="宋体" w:hAnsi="宋体" w:cs="宋体"/>
                <w:i w:val="0"/>
                <w:color w:val="auto"/>
                <w:kern w:val="0"/>
                <w:sz w:val="18"/>
                <w:szCs w:val="18"/>
                <w:highlight w:val="none"/>
                <w:u w:val="none"/>
                <w:lang w:val="en-US" w:eastAsia="zh-CN" w:bidi="ar"/>
              </w:rPr>
            </w:pP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78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7"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64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vMerge w:val="continue"/>
            <w:tcBorders>
              <w:left w:val="single" w:color="000000"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食品生产加工小作坊登记证延续</w:t>
            </w:r>
          </w:p>
        </w:tc>
        <w:tc>
          <w:tcPr>
            <w:tcW w:w="3000"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2481"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353"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eastAsia" w:ascii="宋体" w:hAnsi="宋体" w:cs="宋体"/>
                <w:i w:val="0"/>
                <w:color w:val="auto"/>
                <w:kern w:val="0"/>
                <w:sz w:val="18"/>
                <w:szCs w:val="18"/>
                <w:highlight w:val="none"/>
                <w:u w:val="none"/>
                <w:lang w:val="en-US" w:eastAsia="zh-CN" w:bidi="ar"/>
              </w:rPr>
            </w:pPr>
          </w:p>
        </w:tc>
        <w:tc>
          <w:tcPr>
            <w:tcW w:w="55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78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7"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64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3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vMerge w:val="continue"/>
            <w:tcBorders>
              <w:left w:val="single" w:color="000000"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2021"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食品生产加工小作坊登记证注销</w:t>
            </w:r>
          </w:p>
        </w:tc>
        <w:tc>
          <w:tcPr>
            <w:tcW w:w="3000"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2481"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3"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788"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7"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64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vMerge w:val="continue"/>
            <w:tcBorders>
              <w:left w:val="single" w:color="000000"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2021"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3000"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2481"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jc w:val="center"/>
        </w:trPr>
        <w:tc>
          <w:tcPr>
            <w:tcW w:w="353"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vMerge w:val="continue"/>
            <w:tcBorders>
              <w:left w:val="single" w:color="000000"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8" w:type="dxa"/>
            <w:vMerge w:val="continue"/>
            <w:tcBorders>
              <w:left w:val="single" w:color="000000"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788" w:type="dxa"/>
            <w:vMerge w:val="continue"/>
            <w:tcBorders>
              <w:left w:val="single" w:color="000000"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7" w:type="dxa"/>
            <w:vMerge w:val="continue"/>
            <w:tcBorders>
              <w:left w:val="single" w:color="000000"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645" w:type="dxa"/>
            <w:vMerge w:val="continue"/>
            <w:tcBorders>
              <w:left w:val="single" w:color="000000"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vMerge w:val="continue"/>
            <w:tcBorders>
              <w:left w:val="single" w:color="000000" w:sz="4" w:space="0"/>
              <w:bottom w:val="single" w:color="auto"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auto" w:sz="4" w:space="0"/>
              <w:bottom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2021"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3000"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2481"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 w:hRule="atLeast"/>
          <w:jc w:val="center"/>
        </w:trPr>
        <w:tc>
          <w:tcPr>
            <w:tcW w:w="353" w:type="dxa"/>
            <w:tcBorders>
              <w:top w:val="single" w:color="auto" w:sz="4" w:space="0"/>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55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p>
        </w:tc>
        <w:tc>
          <w:tcPr>
            <w:tcW w:w="495" w:type="dxa"/>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8" w:type="dxa"/>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788" w:type="dxa"/>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1077" w:type="dxa"/>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645" w:type="dxa"/>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tcBorders>
              <w:top w:val="single" w:color="auto" w:sz="4" w:space="0"/>
              <w:left w:val="single" w:color="000000"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20" w:type="dxa"/>
            <w:tcBorders>
              <w:top w:val="single" w:color="auto" w:sz="4" w:space="0"/>
              <w:left w:val="single" w:color="000000" w:sz="4" w:space="0"/>
              <w:right w:val="single" w:color="auto"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tcBorders>
              <w:top w:val="single" w:color="auto" w:sz="4" w:space="0"/>
              <w:left w:val="single" w:color="auto" w:sz="4" w:space="0"/>
              <w:right w:val="single" w:color="000000" w:sz="4" w:space="0"/>
            </w:tcBorders>
            <w:noWrap w:val="0"/>
            <w:vAlign w:val="center"/>
          </w:tcPr>
          <w:p>
            <w:pPr>
              <w:widowControl/>
              <w:wordWrap/>
              <w:adjustRightInd/>
              <w:snapToGrid/>
              <w:spacing w:line="240" w:lineRule="exact"/>
              <w:ind w:left="0" w:leftChars="0" w:right="0" w:rightChars="0" w:firstLine="0" w:firstLineChars="0"/>
              <w:jc w:val="left"/>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p>
        </w:tc>
        <w:tc>
          <w:tcPr>
            <w:tcW w:w="43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p>
        </w:tc>
        <w:tc>
          <w:tcPr>
            <w:tcW w:w="2021" w:type="dxa"/>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3000" w:type="dxa"/>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p>
        </w:tc>
        <w:tc>
          <w:tcPr>
            <w:tcW w:w="2481" w:type="dxa"/>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 w:hRule="atLeast"/>
          <w:jc w:val="center"/>
        </w:trPr>
        <w:tc>
          <w:tcPr>
            <w:tcW w:w="353"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32</w:t>
            </w:r>
          </w:p>
        </w:tc>
        <w:tc>
          <w:tcPr>
            <w:tcW w:w="55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w:t>
            </w:r>
            <w:r>
              <w:rPr>
                <w:rFonts w:hint="eastAsia" w:ascii="宋体" w:hAnsi="宋体" w:cs="宋体"/>
                <w:i w:val="0"/>
                <w:color w:val="auto"/>
                <w:kern w:val="0"/>
                <w:sz w:val="18"/>
                <w:szCs w:val="18"/>
                <w:highlight w:val="none"/>
                <w:u w:val="none"/>
                <w:lang w:val="en-US" w:eastAsia="zh-CN" w:bidi="ar"/>
              </w:rPr>
              <w:t>（省自贸区清单）</w:t>
            </w:r>
          </w:p>
        </w:tc>
        <w:tc>
          <w:tcPr>
            <w:tcW w:w="49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r>
              <w:rPr>
                <w:rFonts w:hint="eastAsia" w:ascii="宋体" w:hAnsi="宋体" w:eastAsia="宋体" w:cs="宋体"/>
                <w:i w:val="0"/>
                <w:color w:val="auto"/>
                <w:kern w:val="0"/>
                <w:sz w:val="18"/>
                <w:szCs w:val="18"/>
                <w:highlight w:val="none"/>
                <w:u w:val="none"/>
                <w:lang w:val="en-US" w:eastAsia="zh-CN" w:bidi="ar"/>
              </w:rPr>
              <w:t>国家药监局</w:t>
            </w:r>
          </w:p>
        </w:tc>
        <w:tc>
          <w:tcPr>
            <w:tcW w:w="1078"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r>
              <w:rPr>
                <w:rFonts w:hint="eastAsia" w:ascii="宋体" w:hAnsi="宋体" w:eastAsia="宋体" w:cs="宋体"/>
                <w:i w:val="0"/>
                <w:color w:val="auto"/>
                <w:kern w:val="0"/>
                <w:sz w:val="18"/>
                <w:szCs w:val="18"/>
                <w:highlight w:val="none"/>
                <w:u w:val="none"/>
                <w:lang w:val="en-US" w:eastAsia="zh-CN" w:bidi="ar"/>
              </w:rPr>
              <w:t>药品零售企业筹建审批</w:t>
            </w:r>
          </w:p>
        </w:tc>
        <w:tc>
          <w:tcPr>
            <w:tcW w:w="788"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r>
              <w:rPr>
                <w:rFonts w:hint="eastAsia" w:ascii="宋体" w:hAnsi="宋体" w:eastAsia="宋体" w:cs="宋体"/>
                <w:i w:val="0"/>
                <w:color w:val="auto"/>
                <w:kern w:val="0"/>
                <w:sz w:val="18"/>
                <w:szCs w:val="18"/>
                <w:highlight w:val="none"/>
                <w:u w:val="none"/>
                <w:lang w:val="en-US" w:eastAsia="zh-CN" w:bidi="ar"/>
              </w:rPr>
              <w:t>无</w:t>
            </w:r>
          </w:p>
        </w:tc>
        <w:tc>
          <w:tcPr>
            <w:tcW w:w="1077"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r>
              <w:rPr>
                <w:rFonts w:hint="eastAsia" w:ascii="宋体" w:hAnsi="宋体" w:eastAsia="宋体" w:cs="宋体"/>
                <w:i w:val="0"/>
                <w:color w:val="auto"/>
                <w:kern w:val="0"/>
                <w:sz w:val="18"/>
                <w:szCs w:val="18"/>
                <w:highlight w:val="none"/>
                <w:u w:val="none"/>
                <w:lang w:val="en-US" w:eastAsia="zh-CN" w:bidi="ar"/>
              </w:rPr>
              <w:t>《中华人民共和国药品管理法实施条例》</w:t>
            </w:r>
          </w:p>
        </w:tc>
        <w:tc>
          <w:tcPr>
            <w:tcW w:w="64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设区的市、县级药监部门</w:t>
            </w:r>
          </w:p>
        </w:tc>
        <w:tc>
          <w:tcPr>
            <w:tcW w:w="43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420"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Times New Roman" w:hAnsi="Times New Roman" w:eastAsia="宋体" w:cs="Times New Roman"/>
                <w:i w:val="0"/>
                <w:color w:val="auto"/>
                <w:kern w:val="0"/>
                <w:sz w:val="20"/>
                <w:szCs w:val="20"/>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　</w:t>
            </w:r>
          </w:p>
        </w:tc>
        <w:tc>
          <w:tcPr>
            <w:tcW w:w="43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rPr>
            </w:pPr>
            <w:r>
              <w:rPr>
                <w:rFonts w:hint="eastAsia" w:ascii="宋体" w:hAnsi="宋体" w:eastAsia="宋体" w:cs="宋体"/>
                <w:i w:val="0"/>
                <w:color w:val="auto"/>
                <w:kern w:val="0"/>
                <w:sz w:val="18"/>
                <w:szCs w:val="18"/>
                <w:highlight w:val="none"/>
                <w:u w:val="none"/>
                <w:lang w:val="en-US" w:eastAsia="zh-CN" w:bidi="ar"/>
              </w:rPr>
              <w:t>　</w:t>
            </w:r>
          </w:p>
        </w:tc>
        <w:tc>
          <w:tcPr>
            <w:tcW w:w="2021" w:type="dxa"/>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无</w:t>
            </w:r>
          </w:p>
        </w:tc>
        <w:tc>
          <w:tcPr>
            <w:tcW w:w="3000" w:type="dxa"/>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开办药品零售企业不再向药监部门申请办理筹建审批，直接申请办理药品经营许可。</w:t>
            </w:r>
          </w:p>
        </w:tc>
        <w:tc>
          <w:tcPr>
            <w:tcW w:w="2481" w:type="dxa"/>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全面落实新修订的药品管理法有关规定，进一步完善有关部门规章内容，细化监管要求，推动属地监管部门强化监督检查，落实监管责任，督促企业规范经营、持续合规。2.落实“四个最严”要求，制定年度监管计划，突出监管重点，强化风险控制。3.通过日常监管督促企业不断完善、改进质量管理体系，持续合法合规经营。4.对违法违规行为依法严厉查处并公开曝光。</w:t>
            </w:r>
          </w:p>
        </w:tc>
      </w:tr>
    </w:tbl>
    <w:p>
      <w:pPr>
        <w:rPr>
          <w:rFonts w:hint="eastAsia" w:eastAsia="宋体"/>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2CE2"/>
    <w:rsid w:val="01A3214E"/>
    <w:rsid w:val="034614CD"/>
    <w:rsid w:val="03916C4C"/>
    <w:rsid w:val="06186C78"/>
    <w:rsid w:val="065129DE"/>
    <w:rsid w:val="07225B16"/>
    <w:rsid w:val="07922BFC"/>
    <w:rsid w:val="09532091"/>
    <w:rsid w:val="0A7F0A3E"/>
    <w:rsid w:val="0AAC7966"/>
    <w:rsid w:val="0BA06562"/>
    <w:rsid w:val="0C9A16D3"/>
    <w:rsid w:val="0D076F3E"/>
    <w:rsid w:val="0D6251C6"/>
    <w:rsid w:val="0DDD1EE7"/>
    <w:rsid w:val="0F873994"/>
    <w:rsid w:val="0F874914"/>
    <w:rsid w:val="10AA31E7"/>
    <w:rsid w:val="111C1738"/>
    <w:rsid w:val="12D47CD2"/>
    <w:rsid w:val="130643B3"/>
    <w:rsid w:val="13BF278F"/>
    <w:rsid w:val="154C7F64"/>
    <w:rsid w:val="16EA4AC2"/>
    <w:rsid w:val="16F37C03"/>
    <w:rsid w:val="16F406DE"/>
    <w:rsid w:val="174E37D8"/>
    <w:rsid w:val="17A6546F"/>
    <w:rsid w:val="184F5FD4"/>
    <w:rsid w:val="186F27FA"/>
    <w:rsid w:val="18EE56D3"/>
    <w:rsid w:val="19777DF1"/>
    <w:rsid w:val="1B363B20"/>
    <w:rsid w:val="1C7903AF"/>
    <w:rsid w:val="1CF70133"/>
    <w:rsid w:val="1D266E5E"/>
    <w:rsid w:val="1DE419F1"/>
    <w:rsid w:val="1F760270"/>
    <w:rsid w:val="20314D56"/>
    <w:rsid w:val="21F03580"/>
    <w:rsid w:val="228C1CD4"/>
    <w:rsid w:val="23317D91"/>
    <w:rsid w:val="23B956BB"/>
    <w:rsid w:val="23E91022"/>
    <w:rsid w:val="24172946"/>
    <w:rsid w:val="24C61516"/>
    <w:rsid w:val="27DA6186"/>
    <w:rsid w:val="28AD43F2"/>
    <w:rsid w:val="28DD1C61"/>
    <w:rsid w:val="299F2208"/>
    <w:rsid w:val="2A276876"/>
    <w:rsid w:val="2AFF563E"/>
    <w:rsid w:val="2C0577C3"/>
    <w:rsid w:val="2CC0362F"/>
    <w:rsid w:val="2D0366EB"/>
    <w:rsid w:val="2FAC3EC1"/>
    <w:rsid w:val="305F7ECB"/>
    <w:rsid w:val="30993BDD"/>
    <w:rsid w:val="30F16FA5"/>
    <w:rsid w:val="31361DD2"/>
    <w:rsid w:val="31647E8C"/>
    <w:rsid w:val="32E375B9"/>
    <w:rsid w:val="33D503BC"/>
    <w:rsid w:val="34676C84"/>
    <w:rsid w:val="351964D7"/>
    <w:rsid w:val="35797A08"/>
    <w:rsid w:val="35A61F15"/>
    <w:rsid w:val="35F913AA"/>
    <w:rsid w:val="36C2414F"/>
    <w:rsid w:val="376B24E7"/>
    <w:rsid w:val="376D25AB"/>
    <w:rsid w:val="379026F9"/>
    <w:rsid w:val="39F05E25"/>
    <w:rsid w:val="3D1C45D9"/>
    <w:rsid w:val="3D7E66B4"/>
    <w:rsid w:val="3DAD6B07"/>
    <w:rsid w:val="40803AF5"/>
    <w:rsid w:val="42355088"/>
    <w:rsid w:val="42AF721E"/>
    <w:rsid w:val="441A1710"/>
    <w:rsid w:val="445F6F48"/>
    <w:rsid w:val="456034AE"/>
    <w:rsid w:val="47847862"/>
    <w:rsid w:val="48020F01"/>
    <w:rsid w:val="48412679"/>
    <w:rsid w:val="49410D19"/>
    <w:rsid w:val="49900B72"/>
    <w:rsid w:val="49943D68"/>
    <w:rsid w:val="4A1710BA"/>
    <w:rsid w:val="4AFD531A"/>
    <w:rsid w:val="4B1248C3"/>
    <w:rsid w:val="4B2C7FB9"/>
    <w:rsid w:val="4B936A0F"/>
    <w:rsid w:val="4BC649BF"/>
    <w:rsid w:val="4C963268"/>
    <w:rsid w:val="4CA81BFE"/>
    <w:rsid w:val="4CF51DAE"/>
    <w:rsid w:val="4D7C06A1"/>
    <w:rsid w:val="4F370E46"/>
    <w:rsid w:val="4FCE2FF8"/>
    <w:rsid w:val="4FDD75CD"/>
    <w:rsid w:val="529B520A"/>
    <w:rsid w:val="55DF4C67"/>
    <w:rsid w:val="56BB679E"/>
    <w:rsid w:val="579218D5"/>
    <w:rsid w:val="5A217462"/>
    <w:rsid w:val="5AD42CD8"/>
    <w:rsid w:val="5B7C4F58"/>
    <w:rsid w:val="5BB55F0C"/>
    <w:rsid w:val="5CBD000E"/>
    <w:rsid w:val="5D0562BC"/>
    <w:rsid w:val="5E3549EA"/>
    <w:rsid w:val="60D03445"/>
    <w:rsid w:val="62C55A02"/>
    <w:rsid w:val="63B62F7D"/>
    <w:rsid w:val="65490238"/>
    <w:rsid w:val="659E2007"/>
    <w:rsid w:val="6608433A"/>
    <w:rsid w:val="67E33E17"/>
    <w:rsid w:val="6AD431B3"/>
    <w:rsid w:val="6AE61BB4"/>
    <w:rsid w:val="6B6C5575"/>
    <w:rsid w:val="6BAA0398"/>
    <w:rsid w:val="6CD01A00"/>
    <w:rsid w:val="6E311DC4"/>
    <w:rsid w:val="6E371190"/>
    <w:rsid w:val="6F504593"/>
    <w:rsid w:val="6F9D703B"/>
    <w:rsid w:val="713A0182"/>
    <w:rsid w:val="71A50923"/>
    <w:rsid w:val="724F067F"/>
    <w:rsid w:val="72FE31A7"/>
    <w:rsid w:val="735C5040"/>
    <w:rsid w:val="73D25B74"/>
    <w:rsid w:val="74630221"/>
    <w:rsid w:val="752419D7"/>
    <w:rsid w:val="75690209"/>
    <w:rsid w:val="7801298E"/>
    <w:rsid w:val="799F2917"/>
    <w:rsid w:val="7B7848B0"/>
    <w:rsid w:val="7C5627DD"/>
    <w:rsid w:val="7DE41143"/>
    <w:rsid w:val="7F924B17"/>
    <w:rsid w:val="7FF45BD2"/>
    <w:rsid w:val="7FFF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590" w:lineRule="exact"/>
      <w:ind w:firstLine="643"/>
    </w:pPr>
    <w:rPr>
      <w:b/>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fanll</dc:creator>
  <cp:lastModifiedBy>关宏舵</cp:lastModifiedBy>
  <cp:lastPrinted>2021-06-25T14:29:00Z</cp:lastPrinted>
  <dcterms:modified xsi:type="dcterms:W3CDTF">2022-03-16T03:14:04Z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