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2022年知识产权质押融资入园惠企活动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启动仪式暨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活动议程</w:t>
      </w:r>
      <w:bookmarkEnd w:id="0"/>
    </w:p>
    <w:p>
      <w:pPr>
        <w:pStyle w:val="2"/>
        <w:rPr>
          <w:rFonts w:hint="eastAsia"/>
        </w:rPr>
      </w:pP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第一期活动议程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202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月2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val="en-US" w:eastAsia="zh-CN"/>
              </w:rPr>
              <w:t>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日14:00-17:</w:t>
            </w:r>
            <w:r>
              <w:rPr>
                <w:rStyle w:val="6"/>
                <w:rFonts w:hint="default" w:ascii="仿宋" w:hAnsi="仿宋" w:eastAsia="仿宋" w:cs="仿宋"/>
                <w:b w:val="0"/>
                <w:bCs/>
                <w:color w:val="424242"/>
                <w:sz w:val="24"/>
                <w:szCs w:val="24"/>
                <w:lang w:val="en" w:eastAsia="zh-CN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424242"/>
                <w:sz w:val="24"/>
                <w:szCs w:val="24"/>
                <w:lang w:eastAsia="zh-CN"/>
              </w:rPr>
              <w:t>深圳市南山区深南大道9668号北京银行大厦17楼会议室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主持人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中知深德知识产权运营管理（深圳）有限公司工作人员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Style w:val="6"/>
                <w:rFonts w:hint="default" w:ascii="仿宋" w:hAnsi="仿宋" w:eastAsia="仿宋" w:cs="仿宋"/>
                <w:color w:val="424242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eastAsia="zh-CN"/>
              </w:rPr>
              <w:t>主讲单位</w:t>
            </w:r>
            <w:r>
              <w:rPr>
                <w:rStyle w:val="6"/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:</w:t>
            </w:r>
            <w:r>
              <w:rPr>
                <w:rFonts w:hint="default" w:ascii="仿宋" w:hAnsi="仿宋" w:eastAsia="仿宋" w:cs="仿宋"/>
                <w:color w:val="424242"/>
                <w:sz w:val="24"/>
                <w:szCs w:val="24"/>
                <w:lang w:val="en" w:eastAsia="zh-CN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2424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0-14: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领导致辞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深圳市知识产权局有关负责同志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14: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5-1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50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南山区惠企政策介绍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南山区知识产权促进中心有关工作人员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0-15:30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知识产权质押融资及产品介绍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北京银行深圳分行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15:30-16: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知识产权质押融资保证保险创新模式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国任财产保险股份有限公司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16: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0-16: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深圳高新投探索知识产权证券化先行示范深圳模式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深圳市高新投集团有限公司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16: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0-1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知识产权价值评估系统介绍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both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中知深德知识产权运营管理（深圳）有限公司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0-17:</w:t>
            </w:r>
            <w:r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互动交流</w:t>
            </w:r>
          </w:p>
        </w:tc>
      </w:tr>
    </w:tbl>
    <w:p/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报名二维码</w:t>
      </w:r>
    </w:p>
    <w:p>
      <w:pPr>
        <w:pStyle w:val="2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1428750" cy="1428750"/>
            <wp:effectExtent l="0" t="0" r="0" b="0"/>
            <wp:docPr id="1" name="图片 1" descr="二维码-150px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-150px (1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FF7F4"/>
    <w:rsid w:val="DF9FF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2022-04-14T17:44:00Z</dcterms:created>
  <dc:creator>WANGQW</dc:creator>
  <cp:lastModifiedBy>WANGQW</cp:lastModifiedBy>
  <dcterms:modified xsi:type="dcterms:W3CDTF">2022-04-14T17:46:13Z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