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60" w:lineRule="exact"/>
        <w:ind w:firstLine="0" w:firstLineChars="0"/>
        <w:jc w:val="lef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广东深圳（南山）商业秘密保护基地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《企业商业秘密管理规范》试点企业申请书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联系人及职务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企业基本情况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企业知识产权工作情况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企业商业秘密保护需求情况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可安排的商业秘密保护试点资源</w:t>
            </w:r>
          </w:p>
        </w:tc>
        <w:tc>
          <w:tcPr>
            <w:tcW w:w="702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试点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企业申报</w:t>
      </w: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二维码：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1403350</wp:posOffset>
            </wp:positionH>
            <wp:positionV relativeFrom="paragraph">
              <wp:posOffset>228600</wp:posOffset>
            </wp:positionV>
            <wp:extent cx="2295525" cy="2295525"/>
            <wp:effectExtent l="0" t="0" r="9525" b="9525"/>
            <wp:wrapSquare wrapText="bothSides"/>
            <wp:docPr id="1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0BE8"/>
    <w:rsid w:val="28EC3433"/>
    <w:rsid w:val="4FD2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等线" w:hAnsi="等线" w:eastAsia="等线" w:cs="等线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2022-05-11T07:52:00Z</dcterms:created>
  <dc:creator>洪若婷</dc:creator>
  <cp:lastModifiedBy>洪若婷</cp:lastModifiedBy>
  <dcterms:modified xsi:type="dcterms:W3CDTF">2022-05-11T07:53:58Z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