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75" w:line="360" w:lineRule="auto"/>
        <w:jc w:val="center"/>
        <w:rPr>
          <w:rFonts w:ascii="黑体" w:hAnsi="黑体" w:eastAsia="黑体"/>
          <w:color w:val="000000" w:themeColor="text1"/>
          <w:sz w:val="36"/>
          <w:szCs w:val="36"/>
        </w:rPr>
      </w:pPr>
      <w:r>
        <w:rPr>
          <w:rFonts w:hint="eastAsia" w:ascii="黑体" w:hAnsi="黑体" w:eastAsia="黑体"/>
          <w:color w:val="000000" w:themeColor="text1"/>
          <w:sz w:val="36"/>
          <w:szCs w:val="36"/>
        </w:rPr>
        <w:t>深圳市市场监督管理局</w:t>
      </w:r>
    </w:p>
    <w:p>
      <w:pPr>
        <w:spacing w:beforeLines="75" w:line="360" w:lineRule="auto"/>
        <w:jc w:val="center"/>
        <w:rPr>
          <w:rFonts w:ascii="黑体" w:hAnsi="黑体" w:eastAsia="黑体"/>
          <w:color w:val="000000" w:themeColor="text1"/>
          <w:sz w:val="36"/>
          <w:szCs w:val="36"/>
        </w:rPr>
      </w:pPr>
      <w:r>
        <w:rPr>
          <w:rFonts w:hint="eastAsia" w:ascii="黑体" w:hAnsi="黑体" w:eastAsia="黑体"/>
          <w:color w:val="000000" w:themeColor="text1"/>
          <w:sz w:val="36"/>
          <w:szCs w:val="36"/>
        </w:rPr>
        <w:t>电动自行车产品质量监督抽查实施规范</w:t>
      </w:r>
    </w:p>
    <w:p>
      <w:pPr>
        <w:spacing w:beforeLines="75" w:line="360" w:lineRule="auto"/>
        <w:jc w:val="center"/>
        <w:rPr>
          <w:rFonts w:ascii="黑体" w:hAnsi="黑体" w:eastAsia="黑体"/>
          <w:color w:val="000000" w:themeColor="text1"/>
          <w:sz w:val="28"/>
        </w:rPr>
      </w:pPr>
      <w:r>
        <w:rPr>
          <w:rFonts w:hint="eastAsia" w:ascii="黑体" w:hAnsi="黑体" w:eastAsia="黑体"/>
          <w:color w:val="000000" w:themeColor="text1"/>
          <w:sz w:val="28"/>
        </w:rPr>
        <w:t>编号</w:t>
      </w:r>
      <w:r>
        <w:rPr>
          <w:rFonts w:ascii="黑体" w:hAnsi="黑体" w:eastAsia="黑体"/>
          <w:color w:val="000000" w:themeColor="text1"/>
          <w:sz w:val="28"/>
        </w:rPr>
        <w:t>：CCGF-SZ-</w:t>
      </w:r>
      <w:r>
        <w:rPr>
          <w:rFonts w:hint="eastAsia" w:ascii="黑体" w:hAnsi="黑体" w:eastAsia="黑体"/>
          <w:color w:val="000000" w:themeColor="text1"/>
          <w:sz w:val="28"/>
        </w:rPr>
        <w:t>038</w:t>
      </w:r>
      <w:r>
        <w:rPr>
          <w:rFonts w:ascii="黑体" w:hAnsi="黑体" w:eastAsia="黑体"/>
          <w:color w:val="000000" w:themeColor="text1"/>
          <w:sz w:val="28"/>
        </w:rPr>
        <w:t>-</w:t>
      </w:r>
      <w:r>
        <w:rPr>
          <w:rFonts w:hint="eastAsia" w:ascii="黑体" w:hAnsi="黑体" w:eastAsia="黑体"/>
          <w:color w:val="000000" w:themeColor="text1"/>
          <w:sz w:val="28"/>
        </w:rPr>
        <w:t>2019</w:t>
      </w:r>
    </w:p>
    <w:p>
      <w:pPr>
        <w:snapToGrid w:val="0"/>
        <w:spacing w:line="360" w:lineRule="auto"/>
        <w:rPr>
          <w:rFonts w:ascii="仿宋_GB2312" w:hAnsi="宋体" w:eastAsia="仿宋_GB2312" w:cs="Times New Roman"/>
          <w:b/>
          <w:color w:val="000000" w:themeColor="text1"/>
          <w:szCs w:val="21"/>
        </w:rPr>
      </w:pP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1 适用范围</w:t>
      </w:r>
    </w:p>
    <w:p>
      <w:pPr>
        <w:snapToGrid w:val="0"/>
        <w:spacing w:line="360" w:lineRule="auto"/>
        <w:ind w:firstLine="548" w:firstLineChars="196"/>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本规范适用于深圳市生产及流通领域电动自行车产品质量监督抽查。监督抽查产品范围适用于：</w:t>
      </w:r>
      <w:r>
        <w:rPr>
          <w:rFonts w:hint="eastAsia" w:ascii="仿宋_GB2312" w:hAnsi="宋体" w:eastAsia="仿宋_GB2312"/>
          <w:color w:val="000000" w:themeColor="text1"/>
          <w:sz w:val="28"/>
          <w:szCs w:val="28"/>
        </w:rPr>
        <w:t>以车载蓄电池作为辅助能源，具有脚踏骑行能力，能实现电助动或/和电驱动功能的两轮自行车。</w:t>
      </w:r>
    </w:p>
    <w:p>
      <w:pPr>
        <w:snapToGrid w:val="0"/>
        <w:spacing w:line="360" w:lineRule="auto"/>
        <w:ind w:firstLine="548" w:firstLineChars="196"/>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2产品种类</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产品种类见表1。</w:t>
      </w:r>
    </w:p>
    <w:p>
      <w:pPr>
        <w:snapToGrid w:val="0"/>
        <w:jc w:val="center"/>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表1  产品种类</w:t>
      </w:r>
    </w:p>
    <w:tbl>
      <w:tblPr>
        <w:tblStyle w:val="17"/>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产品种类</w:t>
            </w:r>
          </w:p>
        </w:tc>
        <w:tc>
          <w:tcPr>
            <w:tcW w:w="6305"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vAlign w:val="center"/>
          </w:tcPr>
          <w:p>
            <w:pPr>
              <w:autoSpaceDE w:val="0"/>
              <w:autoSpaceDN w:val="0"/>
              <w:adjustRightInd w:val="0"/>
              <w:spacing w:line="300" w:lineRule="exact"/>
              <w:jc w:val="center"/>
              <w:rPr>
                <w:rFonts w:ascii="仿宋_GB2312" w:hAnsi="宋体" w:eastAsia="仿宋_GB2312" w:cs="Times New Roman"/>
                <w:color w:val="000000" w:themeColor="text1"/>
                <w:sz w:val="24"/>
                <w:szCs w:val="21"/>
              </w:rPr>
            </w:pPr>
            <w:r>
              <w:rPr>
                <w:rFonts w:hint="eastAsia" w:ascii="仿宋_GB2312" w:hAnsi="宋体" w:eastAsia="仿宋_GB2312" w:cs="Times New Roman"/>
                <w:color w:val="000000" w:themeColor="text1"/>
                <w:sz w:val="24"/>
                <w:szCs w:val="21"/>
              </w:rPr>
              <w:t>电动自行车</w:t>
            </w:r>
          </w:p>
        </w:tc>
        <w:tc>
          <w:tcPr>
            <w:tcW w:w="6305" w:type="dxa"/>
            <w:vAlign w:val="center"/>
          </w:tcPr>
          <w:p>
            <w:pPr>
              <w:autoSpaceDE w:val="0"/>
              <w:autoSpaceDN w:val="0"/>
              <w:adjustRightInd w:val="0"/>
              <w:spacing w:line="300" w:lineRule="exact"/>
              <w:rPr>
                <w:rFonts w:ascii="仿宋_GB2312" w:eastAsia="仿宋_GB2312" w:cs="宋体"/>
                <w:color w:val="000000" w:themeColor="text1"/>
                <w:kern w:val="0"/>
                <w:sz w:val="24"/>
                <w:szCs w:val="21"/>
              </w:rPr>
            </w:pPr>
            <w:r>
              <w:rPr>
                <w:rFonts w:hint="eastAsia" w:ascii="仿宋_GB2312" w:eastAsia="仿宋_GB2312" w:cs="宋体"/>
                <w:color w:val="000000" w:themeColor="text1"/>
                <w:kern w:val="0"/>
                <w:sz w:val="24"/>
                <w:szCs w:val="21"/>
              </w:rPr>
              <w:t>按驱动方式：电驱动电动自行车、电助动电动自行车、电驱动/电助动电动自行车。</w:t>
            </w:r>
          </w:p>
        </w:tc>
      </w:tr>
    </w:tbl>
    <w:p>
      <w:pPr>
        <w:snapToGrid w:val="0"/>
        <w:spacing w:beforeLines="50"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3 术语和定义</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术语和定义见表2。</w:t>
      </w:r>
    </w:p>
    <w:p>
      <w:pPr>
        <w:snapToGrid w:val="0"/>
        <w:jc w:val="center"/>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表2 术语和定义</w:t>
      </w:r>
    </w:p>
    <w:tbl>
      <w:tblPr>
        <w:tblStyle w:val="17"/>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产品种类</w:t>
            </w:r>
          </w:p>
        </w:tc>
        <w:tc>
          <w:tcPr>
            <w:tcW w:w="6447"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eastAsia="仿宋_GB2312" w:cs="宋体"/>
                <w:color w:val="000000" w:themeColor="text1"/>
                <w:kern w:val="0"/>
                <w:sz w:val="24"/>
                <w:szCs w:val="21"/>
              </w:rPr>
              <w:t>电驱动电动自行车</w:t>
            </w:r>
          </w:p>
        </w:tc>
        <w:tc>
          <w:tcPr>
            <w:tcW w:w="6447" w:type="dxa"/>
            <w:vAlign w:val="center"/>
          </w:tcPr>
          <w:p>
            <w:pPr>
              <w:autoSpaceDE w:val="0"/>
              <w:autoSpaceDN w:val="0"/>
              <w:adjustRightInd w:val="0"/>
              <w:jc w:val="left"/>
              <w:rPr>
                <w:rFonts w:ascii="仿宋_GB2312" w:hAnsi="宋体" w:eastAsia="仿宋_GB2312" w:cs="Times New Roman"/>
                <w:color w:val="000000" w:themeColor="text1"/>
                <w:sz w:val="24"/>
                <w:szCs w:val="24"/>
              </w:rPr>
            </w:pPr>
            <w:r>
              <w:rPr>
                <w:rFonts w:hint="eastAsia" w:ascii="仿宋_GB2312" w:eastAsia="仿宋_GB2312" w:cs="宋体"/>
                <w:color w:val="000000" w:themeColor="text1"/>
                <w:kern w:val="0"/>
                <w:sz w:val="24"/>
                <w:szCs w:val="21"/>
              </w:rPr>
              <w:t>驱动电能来源于车载蓄电池，仅以电动机输出动力的驱动方式</w:t>
            </w:r>
            <w:r>
              <w:rPr>
                <w:rFonts w:hint="eastAsia" w:ascii="仿宋_GB2312" w:eastAsia="仿宋_GB2312" w:cs="宋体"/>
                <w:color w:val="000000" w:themeColor="text1"/>
                <w:kern w:val="0"/>
                <w:sz w:val="24"/>
                <w:szCs w:val="24"/>
              </w:rPr>
              <w:t>的电动自行车</w:t>
            </w:r>
            <w:r>
              <w:rPr>
                <w:rFonts w:hint="eastAsia" w:ascii="仿宋_GB2312" w:eastAsia="仿宋_GB2312" w:cs="宋体"/>
                <w:color w:val="000000" w:themeColor="text1"/>
                <w:kern w:val="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eastAsia="仿宋_GB2312" w:cs="宋体"/>
                <w:color w:val="000000" w:themeColor="text1"/>
                <w:kern w:val="0"/>
                <w:sz w:val="24"/>
                <w:szCs w:val="21"/>
              </w:rPr>
              <w:t>电助动电动自行车</w:t>
            </w:r>
          </w:p>
        </w:tc>
        <w:tc>
          <w:tcPr>
            <w:tcW w:w="6447" w:type="dxa"/>
            <w:vAlign w:val="center"/>
          </w:tcPr>
          <w:p>
            <w:pPr>
              <w:autoSpaceDE w:val="0"/>
              <w:autoSpaceDN w:val="0"/>
              <w:adjustRightInd w:val="0"/>
              <w:jc w:val="left"/>
              <w:rPr>
                <w:rFonts w:ascii="仿宋_GB2312" w:eastAsia="仿宋_GB2312" w:cs="宋体"/>
                <w:color w:val="000000" w:themeColor="text1"/>
                <w:kern w:val="0"/>
                <w:sz w:val="24"/>
                <w:szCs w:val="24"/>
              </w:rPr>
            </w:pPr>
            <w:r>
              <w:rPr>
                <w:rFonts w:hint="eastAsia" w:ascii="仿宋_GB2312" w:eastAsia="仿宋_GB2312" w:cs="宋体"/>
                <w:color w:val="000000" w:themeColor="text1"/>
                <w:kern w:val="0"/>
                <w:sz w:val="24"/>
                <w:szCs w:val="24"/>
              </w:rPr>
              <w:t>由人力和电动机的动力按输出比例组成的驱动方式的电动自行车。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eastAsia="仿宋_GB2312" w:cs="宋体"/>
                <w:color w:val="000000" w:themeColor="text1"/>
                <w:kern w:val="0"/>
                <w:sz w:val="24"/>
                <w:szCs w:val="21"/>
              </w:rPr>
              <w:t>电驱动+电助动电动自行车</w:t>
            </w:r>
          </w:p>
        </w:tc>
        <w:tc>
          <w:tcPr>
            <w:tcW w:w="6447" w:type="dxa"/>
            <w:vAlign w:val="center"/>
          </w:tcPr>
          <w:p>
            <w:pPr>
              <w:autoSpaceDE w:val="0"/>
              <w:autoSpaceDN w:val="0"/>
              <w:adjustRightInd w:val="0"/>
              <w:jc w:val="left"/>
              <w:rPr>
                <w:rFonts w:ascii="仿宋_GB2312" w:eastAsia="仿宋_GB2312" w:cs="宋体"/>
                <w:color w:val="000000" w:themeColor="text1"/>
                <w:kern w:val="0"/>
                <w:sz w:val="24"/>
                <w:szCs w:val="24"/>
              </w:rPr>
            </w:pPr>
            <w:r>
              <w:rPr>
                <w:rFonts w:hint="eastAsia" w:ascii="仿宋_GB2312" w:eastAsia="仿宋_GB2312" w:cs="宋体"/>
                <w:color w:val="000000" w:themeColor="text1"/>
                <w:kern w:val="0"/>
                <w:sz w:val="24"/>
                <w:szCs w:val="24"/>
              </w:rPr>
              <w:t>同时具备电驱动和电助动驱动方式的电动自行车。</w:t>
            </w:r>
          </w:p>
        </w:tc>
      </w:tr>
    </w:tbl>
    <w:p>
      <w:pPr>
        <w:snapToGrid w:val="0"/>
        <w:spacing w:beforeLines="50"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4 检验依据</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检验依据见表3。</w:t>
      </w:r>
    </w:p>
    <w:p>
      <w:pPr>
        <w:snapToGrid w:val="0"/>
        <w:jc w:val="center"/>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表3 检验依据</w:t>
      </w:r>
    </w:p>
    <w:tbl>
      <w:tblPr>
        <w:tblStyle w:val="17"/>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shd w:val="clear" w:color="auto" w:fill="auto"/>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标准号</w:t>
            </w:r>
          </w:p>
        </w:tc>
        <w:tc>
          <w:tcPr>
            <w:tcW w:w="4407" w:type="dxa"/>
            <w:shd w:val="clear" w:color="auto" w:fill="auto"/>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标准名称</w:t>
            </w:r>
          </w:p>
        </w:tc>
        <w:tc>
          <w:tcPr>
            <w:tcW w:w="2786" w:type="dxa"/>
            <w:shd w:val="clear" w:color="auto" w:fill="auto"/>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shd w:val="clear" w:color="auto" w:fill="auto"/>
            <w:vAlign w:val="center"/>
          </w:tcPr>
          <w:p>
            <w:pPr>
              <w:autoSpaceDE w:val="0"/>
              <w:autoSpaceDN w:val="0"/>
              <w:adjustRightInd w:val="0"/>
              <w:jc w:val="center"/>
              <w:rPr>
                <w:rFonts w:ascii="仿宋_GB2312" w:hAnsi="宋体" w:eastAsia="仿宋_GB2312" w:cs="Times New Roman"/>
                <w:color w:val="000000" w:themeColor="text1"/>
                <w:sz w:val="24"/>
                <w:szCs w:val="21"/>
              </w:rPr>
            </w:pPr>
            <w:r>
              <w:rPr>
                <w:rFonts w:ascii="仿宋_GB2312" w:hAnsi="宋体" w:eastAsia="仿宋_GB2312" w:cs="Times New Roman"/>
                <w:color w:val="000000" w:themeColor="text1"/>
                <w:sz w:val="24"/>
                <w:szCs w:val="21"/>
              </w:rPr>
              <w:t>GB17761-2018</w:t>
            </w:r>
          </w:p>
        </w:tc>
        <w:tc>
          <w:tcPr>
            <w:tcW w:w="4407" w:type="dxa"/>
            <w:shd w:val="clear" w:color="auto" w:fill="auto"/>
            <w:vAlign w:val="center"/>
          </w:tcPr>
          <w:p>
            <w:pPr>
              <w:autoSpaceDE w:val="0"/>
              <w:autoSpaceDN w:val="0"/>
              <w:adjustRightInd w:val="0"/>
              <w:jc w:val="center"/>
              <w:rPr>
                <w:rFonts w:ascii="仿宋_GB2312" w:hAnsi="宋体" w:eastAsia="仿宋_GB2312" w:cs="Times New Roman"/>
                <w:color w:val="000000" w:themeColor="text1"/>
                <w:sz w:val="24"/>
                <w:szCs w:val="21"/>
              </w:rPr>
            </w:pPr>
            <w:r>
              <w:rPr>
                <w:rFonts w:hint="eastAsia" w:ascii="仿宋_GB2312" w:hAnsi="宋体" w:eastAsia="仿宋_GB2312" w:cs="Times New Roman"/>
                <w:color w:val="000000" w:themeColor="text1"/>
                <w:sz w:val="24"/>
                <w:szCs w:val="21"/>
              </w:rPr>
              <w:t>《电动自行车安全技术规范》</w:t>
            </w:r>
          </w:p>
        </w:tc>
        <w:tc>
          <w:tcPr>
            <w:tcW w:w="2786" w:type="dxa"/>
            <w:shd w:val="clear" w:color="auto" w:fill="auto"/>
            <w:vAlign w:val="center"/>
          </w:tcPr>
          <w:p>
            <w:pPr>
              <w:snapToGrid w:val="0"/>
              <w:jc w:val="center"/>
              <w:rPr>
                <w:rFonts w:ascii="宋体" w:hAnsi="Calibri" w:eastAsia="宋体" w:cs="Times New Roman"/>
                <w:color w:val="000000" w:themeColor="text1"/>
                <w:sz w:val="24"/>
                <w:szCs w:val="21"/>
              </w:rPr>
            </w:pPr>
            <w:r>
              <w:rPr>
                <w:rFonts w:hint="eastAsia" w:ascii="宋体" w:hAnsi="Calibri" w:eastAsia="宋体" w:cs="Times New Roman"/>
                <w:color w:val="000000" w:themeColor="text1"/>
                <w:sz w:val="24"/>
                <w:szCs w:val="21"/>
              </w:rPr>
              <w:sym w:font="Wingdings 2" w:char="F052"/>
            </w:r>
            <w:r>
              <w:rPr>
                <w:rFonts w:hint="eastAsia" w:ascii="仿宋_GB2312" w:hAnsi="宋体" w:eastAsia="仿宋_GB2312" w:cs="Times New Roman"/>
                <w:color w:val="000000" w:themeColor="text1"/>
                <w:sz w:val="24"/>
                <w:szCs w:val="21"/>
              </w:rPr>
              <w:t xml:space="preserve">CMA  </w:t>
            </w:r>
            <w:r>
              <w:rPr>
                <w:rFonts w:hint="eastAsia" w:ascii="宋体" w:hAnsi="Calibri" w:eastAsia="宋体" w:cs="Times New Roman"/>
                <w:color w:val="000000" w:themeColor="text1"/>
                <w:sz w:val="24"/>
                <w:szCs w:val="21"/>
              </w:rPr>
              <w:sym w:font="Wingdings 2" w:char="F052"/>
            </w:r>
            <w:r>
              <w:rPr>
                <w:rFonts w:hint="eastAsia" w:ascii="仿宋_GB2312" w:hAnsi="宋体" w:eastAsia="仿宋_GB2312" w:cs="Times New Roman"/>
                <w:color w:val="000000" w:themeColor="text1"/>
                <w:sz w:val="24"/>
                <w:szCs w:val="21"/>
              </w:rPr>
              <w:t xml:space="preserve">CAL </w:t>
            </w:r>
            <w:r>
              <w:rPr>
                <w:rFonts w:hint="eastAsia" w:ascii="宋体" w:hAnsi="Calibri" w:eastAsia="宋体" w:cs="Times New Roman"/>
                <w:color w:val="000000" w:themeColor="text1"/>
                <w:sz w:val="24"/>
                <w:szCs w:val="21"/>
              </w:rPr>
              <w:sym w:font="Wingdings 2" w:char="F052"/>
            </w:r>
            <w:r>
              <w:rPr>
                <w:rFonts w:hint="eastAsia" w:ascii="仿宋_GB2312" w:hAnsi="宋体" w:eastAsia="仿宋_GB2312" w:cs="Times New Roman"/>
                <w:color w:val="000000" w:themeColor="text1"/>
                <w:sz w:val="24"/>
                <w:szCs w:val="21"/>
              </w:rPr>
              <w:t>CNAS</w:t>
            </w:r>
          </w:p>
        </w:tc>
      </w:tr>
    </w:tbl>
    <w:p>
      <w:pPr>
        <w:snapToGrid w:val="0"/>
        <w:spacing w:line="360" w:lineRule="auto"/>
        <w:ind w:firstLine="548" w:firstLineChars="196"/>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相关的产品强制性标准、行业标准、政府法规及产品的明示标准和明示担保内容。</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 抽样</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5.1 抽样型号或规格</w:t>
      </w:r>
    </w:p>
    <w:p>
      <w:pPr>
        <w:snapToGrid w:val="0"/>
        <w:spacing w:line="360" w:lineRule="auto"/>
        <w:ind w:firstLine="537" w:firstLineChars="192"/>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抽取样品须为同一型号规格，同一批次的产品。</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5.2 抽样方法</w:t>
      </w:r>
    </w:p>
    <w:p>
      <w:pPr>
        <w:adjustRightInd w:val="0"/>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在生产企业的成品库内、生产线末端随机抽取经企业检验合格或以任何方式表明已检验合格的并在国内销售的成品。在生产企业抽样原则上由企业按规定无偿提供样品。</w:t>
      </w:r>
    </w:p>
    <w:p>
      <w:pPr>
        <w:adjustRightInd w:val="0"/>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在市场上随机抽取经企业检验合格或以任何方式表明已检验合格的并在国内销售的成品。在经销企业抽样原则上以向商家购样为主。</w:t>
      </w:r>
    </w:p>
    <w:p>
      <w:pPr>
        <w:adjustRightInd w:val="0"/>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网络交易平台抽检，若网络交易平台是在深圳市登记注册的，可对该平台的自营商品进行抽检。若网络交易平台不在深圳市登记注册的，仅可对其平台上在深圳市依法登记的经营者销售的商品进行抽检。在网络平台抽样检验样品及备用样品原则上均以向商家购样为主。</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5.3 抽样基数</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在生产企业和市场上抽样时，抽样基数应不少于抽取样品量。</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5.4 抽样数量</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生产领域：随机抽取同一规格型号的</w:t>
      </w:r>
      <w:bookmarkStart w:id="0" w:name="OLE_LINK51"/>
      <w:r>
        <w:rPr>
          <w:rFonts w:hint="eastAsia" w:ascii="仿宋_GB2312" w:hAnsi="宋体" w:eastAsia="仿宋_GB2312" w:cs="Times New Roman"/>
          <w:color w:val="000000" w:themeColor="text1"/>
          <w:sz w:val="28"/>
          <w:szCs w:val="28"/>
        </w:rPr>
        <w:t>2台样品，1台作为检验样品带回承检机构，</w:t>
      </w:r>
      <w:bookmarkEnd w:id="0"/>
      <w:r>
        <w:rPr>
          <w:rFonts w:hint="eastAsia" w:ascii="仿宋_GB2312" w:hAnsi="宋体" w:eastAsia="仿宋_GB2312" w:cs="Times New Roman"/>
          <w:color w:val="000000" w:themeColor="text1"/>
          <w:sz w:val="28"/>
          <w:szCs w:val="28"/>
        </w:rPr>
        <w:t>1台作为备用样品封存于承检机构；</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流通领域（实体店）：随机抽取同一规格型号的2台样品，1台作为检验样品带回承检机构，1台作为备用样品封存于受检单位。</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流通领域（网络交易平台）：随机抽取同一规格型号的2台样品，1台作为检验样品带回承检机构，1台作为备用样品封存于承检机构。</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5.5 样品处置</w:t>
      </w:r>
    </w:p>
    <w:p>
      <w:pPr>
        <w:spacing w:line="360" w:lineRule="auto"/>
        <w:rPr>
          <w:rFonts w:ascii="仿宋_GB2312" w:hAnsi="宋体" w:eastAsia="仿宋_GB2312" w:cs="Times New Roman"/>
          <w:color w:val="000000" w:themeColor="text1"/>
          <w:sz w:val="28"/>
          <w:szCs w:val="28"/>
        </w:rPr>
      </w:pPr>
      <w:r>
        <w:rPr>
          <w:rFonts w:hint="eastAsia" w:ascii="仿宋_GB2312" w:hAnsi="ˎ̥" w:eastAsia="仿宋_GB2312" w:cs="Times New Roman"/>
          <w:b/>
          <w:color w:val="000000" w:themeColor="text1"/>
          <w:sz w:val="28"/>
          <w:szCs w:val="28"/>
        </w:rPr>
        <w:t>5.5.1</w:t>
      </w:r>
      <w:r>
        <w:rPr>
          <w:rFonts w:hint="eastAsia" w:ascii="仿宋_GB2312" w:hAnsi="宋体" w:eastAsia="仿宋_GB2312" w:cs="Times New Roman"/>
          <w:color w:val="000000" w:themeColor="text1"/>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cs="Times New Roman"/>
          <w:color w:val="000000" w:themeColor="text1"/>
          <w:sz w:val="28"/>
          <w:szCs w:val="28"/>
        </w:rPr>
      </w:pPr>
      <w:r>
        <w:rPr>
          <w:rFonts w:hint="eastAsia" w:ascii="仿宋_GB2312" w:hAnsi="宋体" w:eastAsia="仿宋_GB2312" w:cs="Times New Roman"/>
          <w:b/>
          <w:color w:val="000000" w:themeColor="text1"/>
          <w:sz w:val="28"/>
          <w:szCs w:val="28"/>
        </w:rPr>
        <w:t>5.5.2</w:t>
      </w:r>
      <w:r>
        <w:rPr>
          <w:rFonts w:hint="eastAsia" w:ascii="仿宋_GB2312" w:hAnsi="Calibri" w:eastAsia="仿宋_GB2312" w:cs="Times New Roman"/>
          <w:color w:val="000000" w:themeColor="text1"/>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pacing w:line="360" w:lineRule="auto"/>
        <w:rPr>
          <w:rFonts w:ascii="仿宋_GB2312" w:hAnsi="Calibri" w:eastAsia="仿宋_GB2312" w:cs="Times New Roman"/>
          <w:color w:val="000000" w:themeColor="text1"/>
          <w:sz w:val="28"/>
          <w:szCs w:val="28"/>
        </w:rPr>
      </w:pPr>
      <w:r>
        <w:rPr>
          <w:rFonts w:hint="eastAsia" w:ascii="仿宋_GB2312" w:hAnsi="宋体" w:eastAsia="仿宋_GB2312" w:cs="Times New Roman"/>
          <w:b/>
          <w:color w:val="000000" w:themeColor="text1"/>
          <w:sz w:val="28"/>
          <w:szCs w:val="28"/>
        </w:rPr>
        <w:t>5.5.3</w:t>
      </w:r>
      <w:r>
        <w:rPr>
          <w:rFonts w:hint="eastAsia" w:ascii="仿宋_GB2312" w:hAnsi="Calibri" w:eastAsia="仿宋_GB2312" w:cs="Times New Roman"/>
          <w:color w:val="000000" w:themeColor="text1"/>
          <w:sz w:val="28"/>
          <w:szCs w:val="28"/>
        </w:rPr>
        <w:t>抽取电动自行车产品时，需要抽取附件的产品附件包括使用说明书、合格证、充电器等。</w:t>
      </w:r>
    </w:p>
    <w:p>
      <w:pPr>
        <w:autoSpaceDE w:val="0"/>
        <w:autoSpaceDN w:val="0"/>
        <w:adjustRightIn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5.6 抽样单</w:t>
      </w:r>
    </w:p>
    <w:p>
      <w:pPr>
        <w:snapToGrid w:val="0"/>
        <w:spacing w:line="360" w:lineRule="auto"/>
        <w:ind w:firstLine="537" w:firstLineChars="192"/>
        <w:rPr>
          <w:rFonts w:ascii="仿宋_GB2312" w:hAnsi="Calibri" w:eastAsia="仿宋_GB2312" w:cs="Sim Sun"/>
          <w:color w:val="000000" w:themeColor="text1"/>
          <w:kern w:val="0"/>
          <w:sz w:val="28"/>
          <w:szCs w:val="28"/>
        </w:rPr>
      </w:pPr>
      <w:r>
        <w:rPr>
          <w:rFonts w:hint="eastAsia" w:ascii="仿宋_GB2312" w:hAnsi="宋体" w:eastAsia="仿宋_GB2312" w:cs="Times New Roman"/>
          <w:color w:val="000000" w:themeColor="text1"/>
          <w:sz w:val="28"/>
          <w:szCs w:val="28"/>
        </w:rPr>
        <w:t>应按有关规定填写抽样单，并记录被抽查产品及企业相关信息。</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6 检验要求</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6.1 检验项目</w:t>
      </w:r>
    </w:p>
    <w:tbl>
      <w:tblPr>
        <w:tblStyle w:val="17"/>
        <w:tblW w:w="9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1623"/>
        <w:gridCol w:w="2646"/>
        <w:gridCol w:w="1217"/>
        <w:gridCol w:w="2563"/>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92"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序号</w:t>
            </w:r>
          </w:p>
        </w:tc>
        <w:tc>
          <w:tcPr>
            <w:tcW w:w="1623"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检验项目</w:t>
            </w:r>
          </w:p>
        </w:tc>
        <w:tc>
          <w:tcPr>
            <w:tcW w:w="2646" w:type="dxa"/>
            <w:vAlign w:val="center"/>
          </w:tcPr>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检测依据</w:t>
            </w:r>
          </w:p>
        </w:tc>
        <w:tc>
          <w:tcPr>
            <w:tcW w:w="1217" w:type="dxa"/>
            <w:vAlign w:val="center"/>
          </w:tcPr>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项目性质</w:t>
            </w:r>
          </w:p>
        </w:tc>
        <w:tc>
          <w:tcPr>
            <w:tcW w:w="2563" w:type="dxa"/>
            <w:vAlign w:val="center"/>
          </w:tcPr>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检测方法</w:t>
            </w:r>
          </w:p>
        </w:tc>
        <w:tc>
          <w:tcPr>
            <w:tcW w:w="895"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1</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铭牌</w:t>
            </w:r>
          </w:p>
        </w:tc>
        <w:tc>
          <w:tcPr>
            <w:tcW w:w="2646" w:type="dxa"/>
            <w:vAlign w:val="center"/>
          </w:tcPr>
          <w:p>
            <w:pPr>
              <w:widowControl/>
              <w:snapToGrid w:val="0"/>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5.1</w:t>
            </w:r>
          </w:p>
        </w:tc>
        <w:tc>
          <w:tcPr>
            <w:tcW w:w="1217"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563" w:type="dxa"/>
            <w:vAlign w:val="center"/>
          </w:tcPr>
          <w:p>
            <w:pPr>
              <w:widowControl/>
              <w:snapToGrid w:val="0"/>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5.1</w:t>
            </w:r>
          </w:p>
        </w:tc>
        <w:tc>
          <w:tcPr>
            <w:tcW w:w="895" w:type="dxa"/>
            <w:vAlign w:val="center"/>
          </w:tcPr>
          <w:p>
            <w:pPr>
              <w:snapToGrid w:val="0"/>
              <w:jc w:val="center"/>
              <w:rPr>
                <w:rFonts w:ascii="仿宋_GB2312" w:hAnsi="宋体" w:eastAsia="仿宋_GB2312" w:cs="Times New Roman"/>
                <w:color w:val="000000" w:themeColor="text1"/>
                <w:sz w:val="24"/>
                <w:szCs w:val="21"/>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2</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整车编码</w:t>
            </w:r>
          </w:p>
        </w:tc>
        <w:tc>
          <w:tcPr>
            <w:tcW w:w="2646" w:type="dxa"/>
            <w:vAlign w:val="center"/>
          </w:tcPr>
          <w:p>
            <w:pPr>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5.2</w:t>
            </w:r>
          </w:p>
        </w:tc>
        <w:tc>
          <w:tcPr>
            <w:tcW w:w="1217"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563" w:type="dxa"/>
            <w:vAlign w:val="center"/>
          </w:tcPr>
          <w:p>
            <w:pPr>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5.2</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3</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电动机编码</w:t>
            </w:r>
          </w:p>
        </w:tc>
        <w:tc>
          <w:tcPr>
            <w:tcW w:w="2646" w:type="dxa"/>
            <w:vAlign w:val="center"/>
          </w:tcPr>
          <w:p>
            <w:pPr>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5.3</w:t>
            </w:r>
          </w:p>
        </w:tc>
        <w:tc>
          <w:tcPr>
            <w:tcW w:w="1217"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563" w:type="dxa"/>
            <w:vAlign w:val="center"/>
          </w:tcPr>
          <w:p>
            <w:pPr>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5.3</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4</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号牌安装位置</w:t>
            </w:r>
          </w:p>
        </w:tc>
        <w:tc>
          <w:tcPr>
            <w:tcW w:w="2646" w:type="dxa"/>
            <w:vAlign w:val="center"/>
          </w:tcPr>
          <w:p>
            <w:pPr>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5.4</w:t>
            </w:r>
          </w:p>
        </w:tc>
        <w:tc>
          <w:tcPr>
            <w:tcW w:w="1217" w:type="dxa"/>
            <w:vAlign w:val="center"/>
          </w:tcPr>
          <w:p>
            <w:pPr>
              <w:jc w:val="center"/>
              <w:rPr>
                <w:color w:val="000000" w:themeColor="text1"/>
              </w:rPr>
            </w:pPr>
            <w:r>
              <w:rPr>
                <w:rFonts w:hint="eastAsia" w:ascii="仿宋_GB2312" w:hAnsi="仿宋" w:eastAsia="仿宋_GB2312" w:cs="Times New Roman"/>
                <w:color w:val="000000" w:themeColor="text1"/>
                <w:sz w:val="24"/>
                <w:szCs w:val="24"/>
              </w:rPr>
              <w:t>强制性</w:t>
            </w:r>
          </w:p>
        </w:tc>
        <w:tc>
          <w:tcPr>
            <w:tcW w:w="2563" w:type="dxa"/>
            <w:vAlign w:val="center"/>
          </w:tcPr>
          <w:p>
            <w:pPr>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5.4</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5</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产品合格证</w:t>
            </w:r>
          </w:p>
        </w:tc>
        <w:tc>
          <w:tcPr>
            <w:tcW w:w="2646" w:type="dxa"/>
            <w:vAlign w:val="center"/>
          </w:tcPr>
          <w:p>
            <w:pPr>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5.5</w:t>
            </w:r>
          </w:p>
        </w:tc>
        <w:tc>
          <w:tcPr>
            <w:tcW w:w="1217" w:type="dxa"/>
            <w:vAlign w:val="center"/>
          </w:tcPr>
          <w:p>
            <w:pPr>
              <w:jc w:val="center"/>
              <w:rPr>
                <w:color w:val="000000" w:themeColor="text1"/>
              </w:rPr>
            </w:pPr>
            <w:r>
              <w:rPr>
                <w:rFonts w:hint="eastAsia" w:ascii="仿宋_GB2312" w:hAnsi="仿宋" w:eastAsia="仿宋_GB2312" w:cs="Times New Roman"/>
                <w:color w:val="000000" w:themeColor="text1"/>
                <w:sz w:val="24"/>
                <w:szCs w:val="24"/>
              </w:rPr>
              <w:t>强制性</w:t>
            </w:r>
          </w:p>
        </w:tc>
        <w:tc>
          <w:tcPr>
            <w:tcW w:w="2563" w:type="dxa"/>
            <w:vAlign w:val="center"/>
          </w:tcPr>
          <w:p>
            <w:pPr>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5.5</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6</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车速限值</w:t>
            </w:r>
          </w:p>
        </w:tc>
        <w:tc>
          <w:tcPr>
            <w:tcW w:w="2646" w:type="dxa"/>
            <w:vAlign w:val="center"/>
          </w:tcPr>
          <w:p>
            <w:pPr>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6.1.1</w:t>
            </w:r>
          </w:p>
        </w:tc>
        <w:tc>
          <w:tcPr>
            <w:tcW w:w="1217" w:type="dxa"/>
            <w:vAlign w:val="center"/>
          </w:tcPr>
          <w:p>
            <w:pPr>
              <w:jc w:val="center"/>
              <w:rPr>
                <w:color w:val="000000" w:themeColor="text1"/>
              </w:rPr>
            </w:pPr>
            <w:r>
              <w:rPr>
                <w:rFonts w:hint="eastAsia" w:ascii="仿宋_GB2312" w:hAnsi="仿宋" w:eastAsia="仿宋_GB2312" w:cs="Times New Roman"/>
                <w:color w:val="000000" w:themeColor="text1"/>
                <w:sz w:val="24"/>
                <w:szCs w:val="24"/>
              </w:rPr>
              <w:t>强制性</w:t>
            </w:r>
          </w:p>
        </w:tc>
        <w:tc>
          <w:tcPr>
            <w:tcW w:w="2563" w:type="dxa"/>
            <w:vAlign w:val="center"/>
          </w:tcPr>
          <w:p>
            <w:pPr>
              <w:widowControl/>
              <w:snapToGrid w:val="0"/>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7.2.1</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7</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整车质量</w:t>
            </w:r>
          </w:p>
        </w:tc>
        <w:tc>
          <w:tcPr>
            <w:tcW w:w="2646" w:type="dxa"/>
            <w:vAlign w:val="center"/>
          </w:tcPr>
          <w:p>
            <w:pPr>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6.1.3</w:t>
            </w:r>
          </w:p>
        </w:tc>
        <w:tc>
          <w:tcPr>
            <w:tcW w:w="1217" w:type="dxa"/>
            <w:vAlign w:val="center"/>
          </w:tcPr>
          <w:p>
            <w:pPr>
              <w:jc w:val="center"/>
              <w:rPr>
                <w:color w:val="000000" w:themeColor="text1"/>
              </w:rPr>
            </w:pPr>
            <w:r>
              <w:rPr>
                <w:rFonts w:hint="eastAsia" w:ascii="仿宋_GB2312" w:hAnsi="仿宋" w:eastAsia="仿宋_GB2312" w:cs="Times New Roman"/>
                <w:color w:val="000000" w:themeColor="text1"/>
                <w:sz w:val="24"/>
                <w:szCs w:val="24"/>
              </w:rPr>
              <w:t>强制性</w:t>
            </w:r>
          </w:p>
        </w:tc>
        <w:tc>
          <w:tcPr>
            <w:tcW w:w="2563" w:type="dxa"/>
            <w:vAlign w:val="center"/>
          </w:tcPr>
          <w:p>
            <w:pPr>
              <w:widowControl/>
              <w:snapToGrid w:val="0"/>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7.2.3</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8</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脚踏骑行能力</w:t>
            </w:r>
          </w:p>
        </w:tc>
        <w:tc>
          <w:tcPr>
            <w:tcW w:w="2646" w:type="dxa"/>
            <w:vAlign w:val="center"/>
          </w:tcPr>
          <w:p>
            <w:pPr>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6.1.4</w:t>
            </w:r>
          </w:p>
        </w:tc>
        <w:tc>
          <w:tcPr>
            <w:tcW w:w="121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563" w:type="dxa"/>
            <w:vAlign w:val="center"/>
          </w:tcPr>
          <w:p>
            <w:pPr>
              <w:widowControl/>
              <w:snapToGrid w:val="0"/>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7.2.4</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9</w:t>
            </w:r>
          </w:p>
        </w:tc>
        <w:tc>
          <w:tcPr>
            <w:tcW w:w="1623" w:type="dxa"/>
            <w:vAlign w:val="center"/>
          </w:tcPr>
          <w:p>
            <w:pPr>
              <w:widowControl/>
              <w:snapToGrid w:val="0"/>
              <w:spacing w:line="360" w:lineRule="exact"/>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尺寸限值</w:t>
            </w:r>
          </w:p>
        </w:tc>
        <w:tc>
          <w:tcPr>
            <w:tcW w:w="2646" w:type="dxa"/>
            <w:vAlign w:val="center"/>
          </w:tcPr>
          <w:p>
            <w:pPr>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6.1.5</w:t>
            </w:r>
          </w:p>
        </w:tc>
        <w:tc>
          <w:tcPr>
            <w:tcW w:w="1217" w:type="dxa"/>
            <w:vAlign w:val="center"/>
          </w:tcPr>
          <w:p>
            <w:pPr>
              <w:jc w:val="center"/>
              <w:rPr>
                <w:color w:val="000000" w:themeColor="text1"/>
              </w:rPr>
            </w:pPr>
            <w:r>
              <w:rPr>
                <w:rFonts w:hint="eastAsia" w:ascii="仿宋_GB2312" w:hAnsi="仿宋" w:eastAsia="仿宋_GB2312" w:cs="Times New Roman"/>
                <w:color w:val="000000" w:themeColor="text1"/>
                <w:sz w:val="24"/>
                <w:szCs w:val="24"/>
              </w:rPr>
              <w:t>强制性</w:t>
            </w:r>
          </w:p>
        </w:tc>
        <w:tc>
          <w:tcPr>
            <w:tcW w:w="2563" w:type="dxa"/>
            <w:vAlign w:val="center"/>
          </w:tcPr>
          <w:p>
            <w:pPr>
              <w:widowControl/>
              <w:snapToGrid w:val="0"/>
              <w:spacing w:line="360" w:lineRule="exact"/>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7.2.5</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10</w:t>
            </w:r>
          </w:p>
        </w:tc>
        <w:tc>
          <w:tcPr>
            <w:tcW w:w="1623" w:type="dxa"/>
            <w:vAlign w:val="center"/>
          </w:tcPr>
          <w:p>
            <w:pPr>
              <w:widowControl/>
              <w:snapToGrid w:val="0"/>
              <w:spacing w:line="360" w:lineRule="exact"/>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脚蹬间隙</w:t>
            </w:r>
          </w:p>
        </w:tc>
        <w:tc>
          <w:tcPr>
            <w:tcW w:w="2646" w:type="dxa"/>
            <w:vAlign w:val="center"/>
          </w:tcPr>
          <w:p>
            <w:pPr>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6.1.6.1</w:t>
            </w:r>
          </w:p>
        </w:tc>
        <w:tc>
          <w:tcPr>
            <w:tcW w:w="121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563" w:type="dxa"/>
            <w:vAlign w:val="center"/>
          </w:tcPr>
          <w:p>
            <w:pPr>
              <w:widowControl/>
              <w:snapToGrid w:val="0"/>
              <w:spacing w:line="360" w:lineRule="exact"/>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7.2.6.1</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11</w:t>
            </w:r>
          </w:p>
        </w:tc>
        <w:tc>
          <w:tcPr>
            <w:tcW w:w="1623" w:type="dxa"/>
            <w:vAlign w:val="center"/>
          </w:tcPr>
          <w:p>
            <w:pPr>
              <w:widowControl/>
              <w:snapToGrid w:val="0"/>
              <w:spacing w:line="360" w:lineRule="exact"/>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突出物</w:t>
            </w:r>
          </w:p>
        </w:tc>
        <w:tc>
          <w:tcPr>
            <w:tcW w:w="2646" w:type="dxa"/>
            <w:vAlign w:val="center"/>
          </w:tcPr>
          <w:p>
            <w:pPr>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6.1.6.2</w:t>
            </w:r>
          </w:p>
        </w:tc>
        <w:tc>
          <w:tcPr>
            <w:tcW w:w="121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563" w:type="dxa"/>
            <w:vAlign w:val="center"/>
          </w:tcPr>
          <w:p>
            <w:pPr>
              <w:widowControl/>
              <w:snapToGrid w:val="0"/>
              <w:spacing w:line="360" w:lineRule="exact"/>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7.2.6.2</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12</w:t>
            </w:r>
          </w:p>
        </w:tc>
        <w:tc>
          <w:tcPr>
            <w:tcW w:w="1623" w:type="dxa"/>
            <w:vAlign w:val="center"/>
          </w:tcPr>
          <w:p>
            <w:pPr>
              <w:widowControl/>
              <w:snapToGrid w:val="0"/>
              <w:spacing w:line="360" w:lineRule="exact"/>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防擦碰</w:t>
            </w:r>
          </w:p>
        </w:tc>
        <w:tc>
          <w:tcPr>
            <w:tcW w:w="2646" w:type="dxa"/>
            <w:vAlign w:val="center"/>
          </w:tcPr>
          <w:p>
            <w:pPr>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6.1.6.3</w:t>
            </w:r>
          </w:p>
        </w:tc>
        <w:tc>
          <w:tcPr>
            <w:tcW w:w="121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563" w:type="dxa"/>
            <w:vAlign w:val="center"/>
          </w:tcPr>
          <w:p>
            <w:pPr>
              <w:widowControl/>
              <w:snapToGrid w:val="0"/>
              <w:spacing w:line="360" w:lineRule="exact"/>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7.2.6.3</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13</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车速提示音</w:t>
            </w:r>
          </w:p>
        </w:tc>
        <w:tc>
          <w:tcPr>
            <w:tcW w:w="2646" w:type="dxa"/>
            <w:vAlign w:val="center"/>
          </w:tcPr>
          <w:p>
            <w:pPr>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6.1.7</w:t>
            </w:r>
          </w:p>
        </w:tc>
        <w:tc>
          <w:tcPr>
            <w:tcW w:w="1217" w:type="dxa"/>
            <w:vAlign w:val="center"/>
          </w:tcPr>
          <w:p>
            <w:pPr>
              <w:jc w:val="center"/>
              <w:rPr>
                <w:color w:val="000000" w:themeColor="text1"/>
              </w:rPr>
            </w:pPr>
            <w:r>
              <w:rPr>
                <w:rFonts w:hint="eastAsia" w:ascii="仿宋_GB2312" w:hAnsi="仿宋" w:eastAsia="仿宋_GB2312" w:cs="Times New Roman"/>
                <w:color w:val="000000" w:themeColor="text1"/>
                <w:sz w:val="24"/>
                <w:szCs w:val="24"/>
              </w:rPr>
              <w:t>强制性</w:t>
            </w:r>
          </w:p>
        </w:tc>
        <w:tc>
          <w:tcPr>
            <w:tcW w:w="2563" w:type="dxa"/>
            <w:vAlign w:val="center"/>
          </w:tcPr>
          <w:p>
            <w:pPr>
              <w:pStyle w:val="29"/>
              <w:widowControl/>
              <w:rPr>
                <w:rFonts w:hAnsi="宋体" w:eastAsia="仿宋_GB2312" w:cs="宋体"/>
                <w:bCs/>
                <w:color w:val="000000" w:themeColor="text1"/>
                <w:kern w:val="2"/>
                <w:sz w:val="24"/>
              </w:rPr>
            </w:pPr>
            <w:r>
              <w:rPr>
                <w:rFonts w:hAnsi="宋体" w:eastAsia="仿宋_GB2312" w:cs="宋体"/>
                <w:bCs/>
                <w:color w:val="000000" w:themeColor="text1"/>
                <w:sz w:val="24"/>
              </w:rPr>
              <w:t>GB17761-2018</w:t>
            </w:r>
            <w:r>
              <w:rPr>
                <w:rFonts w:hint="eastAsia" w:hAnsi="宋体" w:eastAsia="仿宋_GB2312" w:cs="宋体"/>
                <w:bCs/>
                <w:color w:val="000000" w:themeColor="text1"/>
                <w:sz w:val="24"/>
              </w:rPr>
              <w:t xml:space="preserve"> 7.2.7</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14</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把立管安全线</w:t>
            </w:r>
          </w:p>
        </w:tc>
        <w:tc>
          <w:tcPr>
            <w:tcW w:w="2646" w:type="dxa"/>
            <w:vAlign w:val="center"/>
          </w:tcPr>
          <w:p>
            <w:pPr>
              <w:widowControl/>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6.2.2.1</w:t>
            </w:r>
          </w:p>
        </w:tc>
        <w:tc>
          <w:tcPr>
            <w:tcW w:w="1217" w:type="dxa"/>
            <w:vAlign w:val="center"/>
          </w:tcPr>
          <w:p>
            <w:pPr>
              <w:jc w:val="center"/>
              <w:rPr>
                <w:color w:val="000000" w:themeColor="text1"/>
              </w:rPr>
            </w:pPr>
            <w:r>
              <w:rPr>
                <w:rFonts w:hint="eastAsia" w:ascii="仿宋_GB2312" w:hAnsi="仿宋" w:eastAsia="仿宋_GB2312" w:cs="Times New Roman"/>
                <w:color w:val="000000" w:themeColor="text1"/>
                <w:sz w:val="24"/>
                <w:szCs w:val="24"/>
              </w:rPr>
              <w:t>强制性</w:t>
            </w:r>
          </w:p>
        </w:tc>
        <w:tc>
          <w:tcPr>
            <w:tcW w:w="2563" w:type="dxa"/>
            <w:vAlign w:val="center"/>
          </w:tcPr>
          <w:p>
            <w:pPr>
              <w:pStyle w:val="29"/>
              <w:widowControl/>
              <w:rPr>
                <w:rFonts w:hAnsi="宋体" w:eastAsia="仿宋_GB2312" w:cs="宋体"/>
                <w:bCs/>
                <w:color w:val="000000" w:themeColor="text1"/>
                <w:kern w:val="2"/>
                <w:sz w:val="24"/>
              </w:rPr>
            </w:pPr>
            <w:r>
              <w:rPr>
                <w:rFonts w:hAnsi="宋体" w:eastAsia="仿宋_GB2312" w:cs="宋体"/>
                <w:bCs/>
                <w:color w:val="000000" w:themeColor="text1"/>
                <w:sz w:val="24"/>
              </w:rPr>
              <w:t>GB17761-2018</w:t>
            </w:r>
            <w:r>
              <w:rPr>
                <w:rFonts w:hint="eastAsia" w:hAnsi="宋体" w:eastAsia="仿宋_GB2312" w:cs="宋体"/>
                <w:bCs/>
                <w:color w:val="000000" w:themeColor="text1"/>
                <w:sz w:val="24"/>
              </w:rPr>
              <w:t xml:space="preserve"> 7.3.2.1</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15</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鞍座安全线</w:t>
            </w:r>
          </w:p>
        </w:tc>
        <w:tc>
          <w:tcPr>
            <w:tcW w:w="2646" w:type="dxa"/>
            <w:vAlign w:val="center"/>
          </w:tcPr>
          <w:p>
            <w:pPr>
              <w:widowControl/>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6.2.2.3</w:t>
            </w:r>
          </w:p>
        </w:tc>
        <w:tc>
          <w:tcPr>
            <w:tcW w:w="1217" w:type="dxa"/>
            <w:vAlign w:val="center"/>
          </w:tcPr>
          <w:p>
            <w:pPr>
              <w:jc w:val="center"/>
              <w:rPr>
                <w:color w:val="000000" w:themeColor="text1"/>
              </w:rPr>
            </w:pPr>
            <w:r>
              <w:rPr>
                <w:rFonts w:hint="eastAsia" w:ascii="仿宋_GB2312" w:hAnsi="仿宋" w:eastAsia="仿宋_GB2312" w:cs="Times New Roman"/>
                <w:color w:val="000000" w:themeColor="text1"/>
                <w:sz w:val="24"/>
                <w:szCs w:val="24"/>
              </w:rPr>
              <w:t>强制性</w:t>
            </w:r>
          </w:p>
        </w:tc>
        <w:tc>
          <w:tcPr>
            <w:tcW w:w="2563" w:type="dxa"/>
            <w:vAlign w:val="center"/>
          </w:tcPr>
          <w:p>
            <w:pPr>
              <w:pStyle w:val="29"/>
              <w:widowControl/>
              <w:rPr>
                <w:rFonts w:hAnsi="宋体" w:eastAsia="仿宋_GB2312" w:cs="宋体"/>
                <w:bCs/>
                <w:color w:val="000000" w:themeColor="text1"/>
                <w:kern w:val="2"/>
                <w:sz w:val="24"/>
              </w:rPr>
            </w:pPr>
            <w:r>
              <w:rPr>
                <w:rFonts w:hAnsi="宋体" w:eastAsia="仿宋_GB2312" w:cs="宋体"/>
                <w:bCs/>
                <w:color w:val="000000" w:themeColor="text1"/>
                <w:sz w:val="24"/>
              </w:rPr>
              <w:t>GB17761-2018</w:t>
            </w:r>
            <w:r>
              <w:rPr>
                <w:rFonts w:hint="eastAsia" w:hAnsi="宋体" w:eastAsia="仿宋_GB2312" w:cs="宋体"/>
                <w:bCs/>
                <w:color w:val="000000" w:themeColor="text1"/>
                <w:sz w:val="24"/>
              </w:rPr>
              <w:t xml:space="preserve"> 7.3.2.3</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16</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反射器</w:t>
            </w:r>
          </w:p>
        </w:tc>
        <w:tc>
          <w:tcPr>
            <w:tcW w:w="2646" w:type="dxa"/>
            <w:vAlign w:val="center"/>
          </w:tcPr>
          <w:p>
            <w:pPr>
              <w:widowControl/>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6.2.3.1</w:t>
            </w:r>
          </w:p>
        </w:tc>
        <w:tc>
          <w:tcPr>
            <w:tcW w:w="1217" w:type="dxa"/>
            <w:vAlign w:val="center"/>
          </w:tcPr>
          <w:p>
            <w:pPr>
              <w:jc w:val="center"/>
              <w:rPr>
                <w:color w:val="000000" w:themeColor="text1"/>
              </w:rPr>
            </w:pPr>
            <w:r>
              <w:rPr>
                <w:rFonts w:hint="eastAsia" w:ascii="仿宋_GB2312" w:hAnsi="仿宋" w:eastAsia="仿宋_GB2312" w:cs="Times New Roman"/>
                <w:color w:val="000000" w:themeColor="text1"/>
                <w:sz w:val="24"/>
                <w:szCs w:val="24"/>
              </w:rPr>
              <w:t>强制性</w:t>
            </w:r>
          </w:p>
        </w:tc>
        <w:tc>
          <w:tcPr>
            <w:tcW w:w="2563" w:type="dxa"/>
            <w:vAlign w:val="center"/>
          </w:tcPr>
          <w:p>
            <w:pPr>
              <w:pStyle w:val="29"/>
              <w:widowControl/>
              <w:rPr>
                <w:rFonts w:hAnsi="宋体" w:eastAsia="仿宋_GB2312" w:cs="宋体"/>
                <w:bCs/>
                <w:color w:val="000000" w:themeColor="text1"/>
                <w:kern w:val="2"/>
                <w:sz w:val="24"/>
              </w:rPr>
            </w:pPr>
            <w:r>
              <w:rPr>
                <w:rFonts w:hAnsi="宋体" w:eastAsia="仿宋_GB2312" w:cs="宋体"/>
                <w:bCs/>
                <w:color w:val="000000" w:themeColor="text1"/>
                <w:sz w:val="24"/>
              </w:rPr>
              <w:t>GB17761-2018</w:t>
            </w:r>
            <w:r>
              <w:rPr>
                <w:rFonts w:hint="eastAsia" w:hAnsi="宋体" w:eastAsia="仿宋_GB2312" w:cs="宋体"/>
                <w:bCs/>
                <w:color w:val="000000" w:themeColor="text1"/>
                <w:sz w:val="24"/>
              </w:rPr>
              <w:t xml:space="preserve"> 7.3.3.1</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17</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照明</w:t>
            </w:r>
          </w:p>
        </w:tc>
        <w:tc>
          <w:tcPr>
            <w:tcW w:w="2646" w:type="dxa"/>
            <w:vAlign w:val="center"/>
          </w:tcPr>
          <w:p>
            <w:pPr>
              <w:widowControl/>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6.2.3.2</w:t>
            </w:r>
          </w:p>
        </w:tc>
        <w:tc>
          <w:tcPr>
            <w:tcW w:w="1217" w:type="dxa"/>
            <w:vAlign w:val="center"/>
          </w:tcPr>
          <w:p>
            <w:pPr>
              <w:jc w:val="center"/>
              <w:rPr>
                <w:color w:val="000000" w:themeColor="text1"/>
              </w:rPr>
            </w:pPr>
            <w:r>
              <w:rPr>
                <w:rFonts w:hint="eastAsia" w:ascii="仿宋_GB2312" w:hAnsi="仿宋" w:eastAsia="仿宋_GB2312" w:cs="Times New Roman"/>
                <w:color w:val="000000" w:themeColor="text1"/>
                <w:sz w:val="24"/>
                <w:szCs w:val="24"/>
              </w:rPr>
              <w:t>强制性</w:t>
            </w:r>
          </w:p>
        </w:tc>
        <w:tc>
          <w:tcPr>
            <w:tcW w:w="2563" w:type="dxa"/>
            <w:vAlign w:val="center"/>
          </w:tcPr>
          <w:p>
            <w:pPr>
              <w:pStyle w:val="29"/>
              <w:widowControl/>
              <w:rPr>
                <w:rFonts w:hAnsi="宋体" w:eastAsia="仿宋_GB2312" w:cs="宋体"/>
                <w:bCs/>
                <w:color w:val="000000" w:themeColor="text1"/>
                <w:kern w:val="2"/>
                <w:sz w:val="24"/>
              </w:rPr>
            </w:pPr>
            <w:r>
              <w:rPr>
                <w:rFonts w:hAnsi="宋体" w:eastAsia="仿宋_GB2312" w:cs="宋体"/>
                <w:bCs/>
                <w:color w:val="000000" w:themeColor="text1"/>
                <w:sz w:val="24"/>
              </w:rPr>
              <w:t>GB17761-2018</w:t>
            </w:r>
            <w:r>
              <w:rPr>
                <w:rFonts w:hint="eastAsia" w:hAnsi="宋体" w:eastAsia="仿宋_GB2312" w:cs="宋体"/>
                <w:bCs/>
                <w:color w:val="000000" w:themeColor="text1"/>
                <w:sz w:val="24"/>
              </w:rPr>
              <w:t xml:space="preserve"> 7.3.3.2</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18</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鸣号装置</w:t>
            </w:r>
          </w:p>
        </w:tc>
        <w:tc>
          <w:tcPr>
            <w:tcW w:w="2646" w:type="dxa"/>
            <w:vAlign w:val="center"/>
          </w:tcPr>
          <w:p>
            <w:pPr>
              <w:widowControl/>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6.2.3.3</w:t>
            </w:r>
          </w:p>
        </w:tc>
        <w:tc>
          <w:tcPr>
            <w:tcW w:w="1217" w:type="dxa"/>
            <w:vAlign w:val="center"/>
          </w:tcPr>
          <w:p>
            <w:pPr>
              <w:jc w:val="center"/>
              <w:rPr>
                <w:color w:val="000000" w:themeColor="text1"/>
              </w:rPr>
            </w:pPr>
            <w:r>
              <w:rPr>
                <w:rFonts w:hint="eastAsia" w:ascii="仿宋_GB2312" w:hAnsi="仿宋" w:eastAsia="仿宋_GB2312" w:cs="Times New Roman"/>
                <w:color w:val="000000" w:themeColor="text1"/>
                <w:sz w:val="24"/>
                <w:szCs w:val="24"/>
              </w:rPr>
              <w:t>强制性</w:t>
            </w:r>
          </w:p>
        </w:tc>
        <w:tc>
          <w:tcPr>
            <w:tcW w:w="2563" w:type="dxa"/>
            <w:vAlign w:val="center"/>
          </w:tcPr>
          <w:p>
            <w:pPr>
              <w:jc w:val="center"/>
              <w:rPr>
                <w:rFonts w:ascii="仿宋_GB2312" w:hAnsi="宋体" w:eastAsia="仿宋_GB2312" w:cs="宋体"/>
                <w:bCs/>
                <w:color w:val="000000" w:themeColor="text1"/>
                <w:kern w:val="0"/>
                <w:sz w:val="24"/>
                <w:szCs w:val="24"/>
              </w:rPr>
            </w:pPr>
            <w:r>
              <w:rPr>
                <w:rFonts w:ascii="仿宋_GB2312" w:hAnsi="宋体" w:eastAsia="仿宋_GB2312" w:cs="宋体"/>
                <w:bCs/>
                <w:color w:val="000000" w:themeColor="text1"/>
                <w:kern w:val="0"/>
                <w:sz w:val="24"/>
                <w:szCs w:val="24"/>
              </w:rPr>
              <w:t>GB17761-2018</w:t>
            </w:r>
            <w:r>
              <w:rPr>
                <w:rFonts w:hint="eastAsia" w:ascii="仿宋_GB2312" w:hAnsi="宋体" w:eastAsia="仿宋_GB2312" w:cs="宋体"/>
                <w:bCs/>
                <w:color w:val="000000" w:themeColor="text1"/>
                <w:kern w:val="0"/>
                <w:sz w:val="24"/>
                <w:szCs w:val="24"/>
              </w:rPr>
              <w:t xml:space="preserve"> 7.3.3.3</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19</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导线布线安装</w:t>
            </w:r>
          </w:p>
        </w:tc>
        <w:tc>
          <w:tcPr>
            <w:tcW w:w="2646" w:type="dxa"/>
            <w:vAlign w:val="center"/>
          </w:tcPr>
          <w:p>
            <w:pPr>
              <w:widowControl/>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6.3.1.1</w:t>
            </w:r>
          </w:p>
        </w:tc>
        <w:tc>
          <w:tcPr>
            <w:tcW w:w="121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563" w:type="dxa"/>
            <w:vAlign w:val="center"/>
          </w:tcPr>
          <w:p>
            <w:pPr>
              <w:jc w:val="center"/>
              <w:rPr>
                <w:rFonts w:ascii="仿宋_GB2312" w:hAnsi="宋体" w:eastAsia="仿宋_GB2312" w:cs="宋体"/>
                <w:bCs/>
                <w:color w:val="000000" w:themeColor="text1"/>
                <w:kern w:val="0"/>
                <w:sz w:val="24"/>
                <w:szCs w:val="24"/>
              </w:rPr>
            </w:pPr>
            <w:r>
              <w:rPr>
                <w:rFonts w:ascii="仿宋_GB2312" w:hAnsi="宋体" w:eastAsia="仿宋_GB2312" w:cs="宋体"/>
                <w:bCs/>
                <w:color w:val="000000" w:themeColor="text1"/>
                <w:kern w:val="0"/>
                <w:sz w:val="24"/>
                <w:szCs w:val="24"/>
              </w:rPr>
              <w:t>GB17761-2018</w:t>
            </w:r>
            <w:r>
              <w:rPr>
                <w:rFonts w:hint="eastAsia" w:ascii="仿宋_GB2312" w:hAnsi="宋体" w:eastAsia="仿宋_GB2312" w:cs="宋体"/>
                <w:bCs/>
                <w:color w:val="000000" w:themeColor="text1"/>
                <w:kern w:val="0"/>
                <w:sz w:val="24"/>
                <w:szCs w:val="24"/>
              </w:rPr>
              <w:t xml:space="preserve"> 7.4.1.1</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20</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短路保护</w:t>
            </w:r>
          </w:p>
        </w:tc>
        <w:tc>
          <w:tcPr>
            <w:tcW w:w="2646" w:type="dxa"/>
            <w:vAlign w:val="center"/>
          </w:tcPr>
          <w:p>
            <w:pPr>
              <w:widowControl/>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6.3.1.2</w:t>
            </w:r>
          </w:p>
        </w:tc>
        <w:tc>
          <w:tcPr>
            <w:tcW w:w="1217" w:type="dxa"/>
            <w:vAlign w:val="center"/>
          </w:tcPr>
          <w:p>
            <w:pPr>
              <w:jc w:val="center"/>
              <w:rPr>
                <w:color w:val="000000" w:themeColor="text1"/>
              </w:rPr>
            </w:pPr>
            <w:r>
              <w:rPr>
                <w:rFonts w:hint="eastAsia" w:ascii="仿宋_GB2312" w:hAnsi="仿宋" w:eastAsia="仿宋_GB2312" w:cs="Times New Roman"/>
                <w:color w:val="000000" w:themeColor="text1"/>
                <w:sz w:val="24"/>
                <w:szCs w:val="24"/>
              </w:rPr>
              <w:t>强制性</w:t>
            </w:r>
          </w:p>
        </w:tc>
        <w:tc>
          <w:tcPr>
            <w:tcW w:w="2563" w:type="dxa"/>
            <w:vAlign w:val="center"/>
          </w:tcPr>
          <w:p>
            <w:pPr>
              <w:jc w:val="center"/>
              <w:rPr>
                <w:rFonts w:ascii="仿宋_GB2312" w:hAnsi="宋体" w:eastAsia="仿宋_GB2312" w:cs="宋体"/>
                <w:bCs/>
                <w:color w:val="000000" w:themeColor="text1"/>
                <w:kern w:val="0"/>
                <w:sz w:val="24"/>
                <w:szCs w:val="24"/>
              </w:rPr>
            </w:pPr>
            <w:r>
              <w:rPr>
                <w:rFonts w:ascii="仿宋_GB2312" w:hAnsi="宋体" w:eastAsia="仿宋_GB2312" w:cs="宋体"/>
                <w:bCs/>
                <w:color w:val="000000" w:themeColor="text1"/>
                <w:kern w:val="0"/>
                <w:sz w:val="24"/>
                <w:szCs w:val="24"/>
              </w:rPr>
              <w:t>GB17761-2018</w:t>
            </w:r>
            <w:r>
              <w:rPr>
                <w:rFonts w:hint="eastAsia" w:ascii="仿宋_GB2312" w:hAnsi="宋体" w:eastAsia="仿宋_GB2312" w:cs="宋体"/>
                <w:bCs/>
                <w:color w:val="000000" w:themeColor="text1"/>
                <w:kern w:val="0"/>
                <w:sz w:val="24"/>
                <w:szCs w:val="24"/>
              </w:rPr>
              <w:t xml:space="preserve"> 7.4.1.2</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21</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电气强度</w:t>
            </w:r>
          </w:p>
        </w:tc>
        <w:tc>
          <w:tcPr>
            <w:tcW w:w="2646" w:type="dxa"/>
            <w:vAlign w:val="center"/>
          </w:tcPr>
          <w:p>
            <w:pPr>
              <w:widowControl/>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6.3.1.3</w:t>
            </w:r>
          </w:p>
        </w:tc>
        <w:tc>
          <w:tcPr>
            <w:tcW w:w="121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563" w:type="dxa"/>
            <w:vAlign w:val="center"/>
          </w:tcPr>
          <w:p>
            <w:pPr>
              <w:jc w:val="center"/>
              <w:rPr>
                <w:rFonts w:ascii="仿宋_GB2312" w:hAnsi="宋体" w:eastAsia="仿宋_GB2312" w:cs="宋体"/>
                <w:bCs/>
                <w:color w:val="000000" w:themeColor="text1"/>
                <w:kern w:val="0"/>
                <w:sz w:val="24"/>
                <w:szCs w:val="24"/>
              </w:rPr>
            </w:pPr>
            <w:r>
              <w:rPr>
                <w:rFonts w:ascii="仿宋_GB2312" w:hAnsi="宋体" w:eastAsia="仿宋_GB2312" w:cs="宋体"/>
                <w:bCs/>
                <w:color w:val="000000" w:themeColor="text1"/>
                <w:kern w:val="0"/>
                <w:sz w:val="24"/>
                <w:szCs w:val="24"/>
              </w:rPr>
              <w:t>GB17761-2018</w:t>
            </w:r>
            <w:r>
              <w:rPr>
                <w:rFonts w:hint="eastAsia" w:ascii="仿宋_GB2312" w:hAnsi="宋体" w:eastAsia="仿宋_GB2312" w:cs="宋体"/>
                <w:bCs/>
                <w:color w:val="000000" w:themeColor="text1"/>
                <w:kern w:val="0"/>
                <w:sz w:val="24"/>
                <w:szCs w:val="24"/>
              </w:rPr>
              <w:t xml:space="preserve"> 7.4.1.3</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22</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制动断电功能</w:t>
            </w:r>
          </w:p>
        </w:tc>
        <w:tc>
          <w:tcPr>
            <w:tcW w:w="2646" w:type="dxa"/>
            <w:vAlign w:val="center"/>
          </w:tcPr>
          <w:p>
            <w:pPr>
              <w:widowControl/>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6.3.2.1</w:t>
            </w:r>
          </w:p>
        </w:tc>
        <w:tc>
          <w:tcPr>
            <w:tcW w:w="121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563" w:type="dxa"/>
            <w:vAlign w:val="center"/>
          </w:tcPr>
          <w:p>
            <w:pPr>
              <w:jc w:val="center"/>
              <w:rPr>
                <w:rFonts w:ascii="仿宋_GB2312" w:hAnsi="宋体" w:eastAsia="仿宋_GB2312" w:cs="宋体"/>
                <w:bCs/>
                <w:color w:val="000000" w:themeColor="text1"/>
                <w:kern w:val="0"/>
                <w:sz w:val="24"/>
                <w:szCs w:val="24"/>
              </w:rPr>
            </w:pPr>
            <w:r>
              <w:rPr>
                <w:rFonts w:ascii="仿宋_GB2312" w:hAnsi="宋体" w:eastAsia="仿宋_GB2312" w:cs="宋体"/>
                <w:bCs/>
                <w:color w:val="000000" w:themeColor="text1"/>
                <w:kern w:val="0"/>
                <w:sz w:val="24"/>
                <w:szCs w:val="24"/>
              </w:rPr>
              <w:t>GB17761-2018</w:t>
            </w:r>
            <w:r>
              <w:rPr>
                <w:rFonts w:hint="eastAsia" w:ascii="仿宋_GB2312" w:hAnsi="宋体" w:eastAsia="仿宋_GB2312" w:cs="宋体"/>
                <w:bCs/>
                <w:color w:val="000000" w:themeColor="text1"/>
                <w:kern w:val="0"/>
                <w:sz w:val="24"/>
                <w:szCs w:val="24"/>
              </w:rPr>
              <w:t xml:space="preserve"> 7.4.2.1</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23</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过流保护功能</w:t>
            </w:r>
          </w:p>
        </w:tc>
        <w:tc>
          <w:tcPr>
            <w:tcW w:w="2646" w:type="dxa"/>
            <w:vAlign w:val="center"/>
          </w:tcPr>
          <w:p>
            <w:pPr>
              <w:widowControl/>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6.3.2.2</w:t>
            </w:r>
          </w:p>
        </w:tc>
        <w:tc>
          <w:tcPr>
            <w:tcW w:w="1217" w:type="dxa"/>
            <w:vAlign w:val="center"/>
          </w:tcPr>
          <w:p>
            <w:pPr>
              <w:jc w:val="center"/>
              <w:rPr>
                <w:color w:val="000000" w:themeColor="text1"/>
              </w:rPr>
            </w:pPr>
            <w:r>
              <w:rPr>
                <w:rFonts w:hint="eastAsia" w:ascii="仿宋_GB2312" w:hAnsi="仿宋" w:eastAsia="仿宋_GB2312" w:cs="Times New Roman"/>
                <w:color w:val="000000" w:themeColor="text1"/>
                <w:sz w:val="24"/>
                <w:szCs w:val="24"/>
              </w:rPr>
              <w:t>强制性</w:t>
            </w:r>
          </w:p>
        </w:tc>
        <w:tc>
          <w:tcPr>
            <w:tcW w:w="2563" w:type="dxa"/>
            <w:vAlign w:val="center"/>
          </w:tcPr>
          <w:p>
            <w:pPr>
              <w:jc w:val="center"/>
              <w:rPr>
                <w:rFonts w:ascii="仿宋_GB2312" w:hAnsi="宋体" w:eastAsia="仿宋_GB2312" w:cs="宋体"/>
                <w:bCs/>
                <w:color w:val="000000" w:themeColor="text1"/>
                <w:kern w:val="0"/>
                <w:sz w:val="24"/>
                <w:szCs w:val="24"/>
              </w:rPr>
            </w:pPr>
            <w:r>
              <w:rPr>
                <w:rFonts w:ascii="仿宋_GB2312" w:hAnsi="宋体" w:eastAsia="仿宋_GB2312" w:cs="宋体"/>
                <w:bCs/>
                <w:color w:val="000000" w:themeColor="text1"/>
                <w:kern w:val="0"/>
                <w:sz w:val="24"/>
                <w:szCs w:val="24"/>
              </w:rPr>
              <w:t>GB17761-2018</w:t>
            </w:r>
            <w:r>
              <w:rPr>
                <w:rFonts w:hint="eastAsia" w:ascii="仿宋_GB2312" w:hAnsi="宋体" w:eastAsia="仿宋_GB2312" w:cs="宋体"/>
                <w:bCs/>
                <w:color w:val="000000" w:themeColor="text1"/>
                <w:kern w:val="0"/>
                <w:sz w:val="24"/>
                <w:szCs w:val="24"/>
              </w:rPr>
              <w:t xml:space="preserve"> 7.4.2.2</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24</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防失控功能</w:t>
            </w:r>
          </w:p>
        </w:tc>
        <w:tc>
          <w:tcPr>
            <w:tcW w:w="2646" w:type="dxa"/>
            <w:vAlign w:val="center"/>
          </w:tcPr>
          <w:p>
            <w:pPr>
              <w:widowControl/>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6.3.2.3</w:t>
            </w:r>
          </w:p>
        </w:tc>
        <w:tc>
          <w:tcPr>
            <w:tcW w:w="121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563" w:type="dxa"/>
            <w:vAlign w:val="center"/>
          </w:tcPr>
          <w:p>
            <w:pPr>
              <w:jc w:val="center"/>
              <w:rPr>
                <w:rFonts w:ascii="仿宋_GB2312" w:hAnsi="宋体" w:eastAsia="仿宋_GB2312" w:cs="宋体"/>
                <w:bCs/>
                <w:color w:val="000000" w:themeColor="text1"/>
                <w:kern w:val="0"/>
                <w:sz w:val="24"/>
                <w:szCs w:val="24"/>
              </w:rPr>
            </w:pPr>
            <w:r>
              <w:rPr>
                <w:rFonts w:ascii="仿宋_GB2312" w:hAnsi="宋体" w:eastAsia="仿宋_GB2312" w:cs="宋体"/>
                <w:bCs/>
                <w:color w:val="000000" w:themeColor="text1"/>
                <w:kern w:val="0"/>
                <w:sz w:val="24"/>
                <w:szCs w:val="24"/>
              </w:rPr>
              <w:t>GB17761-2018</w:t>
            </w:r>
            <w:r>
              <w:rPr>
                <w:rFonts w:hint="eastAsia" w:ascii="仿宋_GB2312" w:hAnsi="宋体" w:eastAsia="仿宋_GB2312" w:cs="宋体"/>
                <w:bCs/>
                <w:color w:val="000000" w:themeColor="text1"/>
                <w:kern w:val="0"/>
                <w:sz w:val="24"/>
                <w:szCs w:val="24"/>
              </w:rPr>
              <w:t xml:space="preserve"> 7.4.2.3</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25</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充电器</w:t>
            </w:r>
          </w:p>
        </w:tc>
        <w:tc>
          <w:tcPr>
            <w:tcW w:w="2646" w:type="dxa"/>
            <w:vAlign w:val="center"/>
          </w:tcPr>
          <w:p>
            <w:pPr>
              <w:widowControl/>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6.3.4.1</w:t>
            </w:r>
          </w:p>
        </w:tc>
        <w:tc>
          <w:tcPr>
            <w:tcW w:w="1217"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563" w:type="dxa"/>
            <w:vAlign w:val="center"/>
          </w:tcPr>
          <w:p>
            <w:pPr>
              <w:jc w:val="center"/>
              <w:rPr>
                <w:rFonts w:ascii="仿宋_GB2312" w:hAnsi="宋体" w:eastAsia="仿宋_GB2312" w:cs="宋体"/>
                <w:bCs/>
                <w:color w:val="000000" w:themeColor="text1"/>
                <w:kern w:val="0"/>
                <w:sz w:val="24"/>
                <w:szCs w:val="24"/>
              </w:rPr>
            </w:pPr>
            <w:r>
              <w:rPr>
                <w:rFonts w:ascii="仿宋_GB2312" w:hAnsi="宋体" w:eastAsia="仿宋_GB2312" w:cs="宋体"/>
                <w:bCs/>
                <w:color w:val="000000" w:themeColor="text1"/>
                <w:kern w:val="0"/>
                <w:sz w:val="24"/>
                <w:szCs w:val="24"/>
              </w:rPr>
              <w:t>GB17761-2018</w:t>
            </w:r>
            <w:r>
              <w:rPr>
                <w:rFonts w:hint="eastAsia" w:ascii="仿宋_GB2312" w:hAnsi="宋体" w:eastAsia="仿宋_GB2312" w:cs="宋体"/>
                <w:bCs/>
                <w:color w:val="000000" w:themeColor="text1"/>
                <w:kern w:val="0"/>
                <w:sz w:val="24"/>
                <w:szCs w:val="24"/>
              </w:rPr>
              <w:t xml:space="preserve"> 7.4.4.1</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26</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蓄电池最大输出电压</w:t>
            </w:r>
          </w:p>
        </w:tc>
        <w:tc>
          <w:tcPr>
            <w:tcW w:w="2646" w:type="dxa"/>
            <w:vAlign w:val="center"/>
          </w:tcPr>
          <w:p>
            <w:pPr>
              <w:widowControl/>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6.3.4.2</w:t>
            </w:r>
          </w:p>
        </w:tc>
        <w:tc>
          <w:tcPr>
            <w:tcW w:w="1217"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563" w:type="dxa"/>
            <w:vAlign w:val="center"/>
          </w:tcPr>
          <w:p>
            <w:pPr>
              <w:jc w:val="center"/>
              <w:rPr>
                <w:rFonts w:ascii="仿宋_GB2312" w:hAnsi="宋体" w:eastAsia="仿宋_GB2312" w:cs="宋体"/>
                <w:bCs/>
                <w:color w:val="000000" w:themeColor="text1"/>
                <w:kern w:val="0"/>
                <w:sz w:val="24"/>
                <w:szCs w:val="24"/>
              </w:rPr>
            </w:pPr>
            <w:r>
              <w:rPr>
                <w:rFonts w:ascii="仿宋_GB2312" w:hAnsi="宋体" w:eastAsia="仿宋_GB2312" w:cs="宋体"/>
                <w:bCs/>
                <w:color w:val="000000" w:themeColor="text1"/>
                <w:kern w:val="0"/>
                <w:sz w:val="24"/>
                <w:szCs w:val="24"/>
              </w:rPr>
              <w:t>GB17761-2018</w:t>
            </w:r>
            <w:r>
              <w:rPr>
                <w:rFonts w:hint="eastAsia" w:ascii="仿宋_GB2312" w:hAnsi="宋体" w:eastAsia="仿宋_GB2312" w:cs="宋体"/>
                <w:bCs/>
                <w:color w:val="000000" w:themeColor="text1"/>
                <w:kern w:val="0"/>
                <w:sz w:val="24"/>
                <w:szCs w:val="24"/>
              </w:rPr>
              <w:t xml:space="preserve"> 7.4.4.2</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27</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蓄电池防篡改</w:t>
            </w:r>
          </w:p>
        </w:tc>
        <w:tc>
          <w:tcPr>
            <w:tcW w:w="2646" w:type="dxa"/>
            <w:vAlign w:val="center"/>
          </w:tcPr>
          <w:p>
            <w:pPr>
              <w:widowControl/>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6.3.4.3</w:t>
            </w:r>
          </w:p>
        </w:tc>
        <w:tc>
          <w:tcPr>
            <w:tcW w:w="1217"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563" w:type="dxa"/>
            <w:vAlign w:val="center"/>
          </w:tcPr>
          <w:p>
            <w:pPr>
              <w:jc w:val="center"/>
              <w:rPr>
                <w:rFonts w:ascii="仿宋_GB2312" w:hAnsi="宋体" w:eastAsia="仿宋_GB2312" w:cs="宋体"/>
                <w:bCs/>
                <w:color w:val="000000" w:themeColor="text1"/>
                <w:kern w:val="0"/>
                <w:sz w:val="24"/>
                <w:szCs w:val="24"/>
              </w:rPr>
            </w:pPr>
            <w:r>
              <w:rPr>
                <w:rFonts w:ascii="仿宋_GB2312" w:hAnsi="宋体" w:eastAsia="仿宋_GB2312" w:cs="宋体"/>
                <w:bCs/>
                <w:color w:val="000000" w:themeColor="text1"/>
                <w:kern w:val="0"/>
                <w:sz w:val="24"/>
                <w:szCs w:val="24"/>
              </w:rPr>
              <w:t>GB17761-2018</w:t>
            </w:r>
            <w:r>
              <w:rPr>
                <w:rFonts w:hint="eastAsia" w:ascii="仿宋_GB2312" w:hAnsi="宋体" w:eastAsia="仿宋_GB2312" w:cs="宋体"/>
                <w:bCs/>
                <w:color w:val="000000" w:themeColor="text1"/>
                <w:kern w:val="0"/>
                <w:sz w:val="24"/>
                <w:szCs w:val="24"/>
              </w:rPr>
              <w:t xml:space="preserve"> 7.4.4.3</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28</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防火性能（750oC灼热丝试验）</w:t>
            </w:r>
          </w:p>
        </w:tc>
        <w:tc>
          <w:tcPr>
            <w:tcW w:w="2646" w:type="dxa"/>
            <w:vAlign w:val="center"/>
          </w:tcPr>
          <w:p>
            <w:pPr>
              <w:widowControl/>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6.4</w:t>
            </w:r>
          </w:p>
        </w:tc>
        <w:tc>
          <w:tcPr>
            <w:tcW w:w="1217"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563" w:type="dxa"/>
            <w:vAlign w:val="center"/>
          </w:tcPr>
          <w:p>
            <w:pPr>
              <w:jc w:val="center"/>
              <w:rPr>
                <w:rFonts w:ascii="仿宋_GB2312" w:hAnsi="宋体" w:eastAsia="仿宋_GB2312" w:cs="宋体"/>
                <w:bCs/>
                <w:color w:val="000000" w:themeColor="text1"/>
                <w:kern w:val="0"/>
                <w:sz w:val="24"/>
                <w:szCs w:val="24"/>
              </w:rPr>
            </w:pPr>
            <w:r>
              <w:rPr>
                <w:rFonts w:ascii="仿宋_GB2312" w:hAnsi="宋体" w:eastAsia="仿宋_GB2312" w:cs="宋体"/>
                <w:bCs/>
                <w:color w:val="000000" w:themeColor="text1"/>
                <w:kern w:val="0"/>
                <w:sz w:val="24"/>
                <w:szCs w:val="24"/>
              </w:rPr>
              <w:t>GB17761-2018</w:t>
            </w:r>
            <w:r>
              <w:rPr>
                <w:rFonts w:hint="eastAsia" w:ascii="仿宋_GB2312" w:hAnsi="宋体" w:eastAsia="仿宋_GB2312" w:cs="宋体"/>
                <w:bCs/>
                <w:color w:val="000000" w:themeColor="text1"/>
                <w:kern w:val="0"/>
                <w:sz w:val="24"/>
                <w:szCs w:val="24"/>
              </w:rPr>
              <w:t xml:space="preserve"> 7.5</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29</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阻燃性能（装饰性固体非金属材料）</w:t>
            </w:r>
          </w:p>
        </w:tc>
        <w:tc>
          <w:tcPr>
            <w:tcW w:w="2646" w:type="dxa"/>
            <w:vAlign w:val="center"/>
          </w:tcPr>
          <w:p>
            <w:pPr>
              <w:widowControl/>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6.5</w:t>
            </w:r>
          </w:p>
        </w:tc>
        <w:tc>
          <w:tcPr>
            <w:tcW w:w="1217"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563" w:type="dxa"/>
            <w:vAlign w:val="center"/>
          </w:tcPr>
          <w:p>
            <w:pPr>
              <w:jc w:val="center"/>
              <w:rPr>
                <w:rFonts w:ascii="仿宋_GB2312" w:hAnsi="宋体" w:eastAsia="仿宋_GB2312" w:cs="宋体"/>
                <w:bCs/>
                <w:color w:val="000000" w:themeColor="text1"/>
                <w:kern w:val="0"/>
                <w:sz w:val="24"/>
                <w:szCs w:val="24"/>
              </w:rPr>
            </w:pPr>
            <w:r>
              <w:rPr>
                <w:rFonts w:ascii="仿宋_GB2312" w:hAnsi="宋体" w:eastAsia="仿宋_GB2312" w:cs="宋体"/>
                <w:bCs/>
                <w:color w:val="000000" w:themeColor="text1"/>
                <w:kern w:val="0"/>
                <w:sz w:val="24"/>
                <w:szCs w:val="24"/>
              </w:rPr>
              <w:t>GB17761-2018</w:t>
            </w:r>
            <w:r>
              <w:rPr>
                <w:rFonts w:hint="eastAsia" w:ascii="仿宋_GB2312" w:hAnsi="宋体" w:eastAsia="仿宋_GB2312" w:cs="宋体"/>
                <w:bCs/>
                <w:color w:val="000000" w:themeColor="text1"/>
                <w:kern w:val="0"/>
                <w:sz w:val="24"/>
                <w:szCs w:val="24"/>
              </w:rPr>
              <w:t xml:space="preserve"> 7.6</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2"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30</w:t>
            </w:r>
          </w:p>
        </w:tc>
        <w:tc>
          <w:tcPr>
            <w:tcW w:w="1623" w:type="dxa"/>
            <w:vAlign w:val="center"/>
          </w:tcPr>
          <w:p>
            <w:pPr>
              <w:widowControl/>
              <w:snapToGrid w:val="0"/>
              <w:jc w:val="center"/>
              <w:rPr>
                <w:rFonts w:ascii="仿宋_GB2312" w:hAnsi="宋体" w:eastAsia="仿宋_GB2312" w:cs="宋体"/>
                <w:bCs/>
                <w:color w:val="000000" w:themeColor="text1"/>
                <w:sz w:val="24"/>
                <w:szCs w:val="24"/>
              </w:rPr>
            </w:pPr>
            <w:r>
              <w:rPr>
                <w:rFonts w:hint="eastAsia" w:ascii="仿宋_GB2312" w:hAnsi="宋体" w:eastAsia="仿宋_GB2312" w:cs="宋体"/>
                <w:bCs/>
                <w:color w:val="000000" w:themeColor="text1"/>
                <w:sz w:val="24"/>
                <w:szCs w:val="24"/>
              </w:rPr>
              <w:t>使用说明书</w:t>
            </w:r>
          </w:p>
        </w:tc>
        <w:tc>
          <w:tcPr>
            <w:tcW w:w="2646" w:type="dxa"/>
            <w:vAlign w:val="center"/>
          </w:tcPr>
          <w:p>
            <w:pPr>
              <w:widowControl/>
              <w:jc w:val="center"/>
              <w:rPr>
                <w:rFonts w:ascii="仿宋_GB2312" w:hAnsi="宋体" w:eastAsia="仿宋_GB2312" w:cs="宋体"/>
                <w:bCs/>
                <w:color w:val="000000" w:themeColor="text1"/>
                <w:sz w:val="24"/>
                <w:szCs w:val="24"/>
              </w:rPr>
            </w:pPr>
            <w:r>
              <w:rPr>
                <w:rFonts w:ascii="仿宋_GB2312" w:hAnsi="宋体" w:eastAsia="仿宋_GB2312" w:cs="宋体"/>
                <w:bCs/>
                <w:color w:val="000000" w:themeColor="text1"/>
                <w:sz w:val="24"/>
                <w:szCs w:val="24"/>
              </w:rPr>
              <w:t>GB17761-2018</w:t>
            </w:r>
            <w:r>
              <w:rPr>
                <w:rFonts w:hint="eastAsia" w:ascii="仿宋_GB2312" w:hAnsi="宋体" w:eastAsia="仿宋_GB2312" w:cs="宋体"/>
                <w:bCs/>
                <w:color w:val="000000" w:themeColor="text1"/>
                <w:sz w:val="24"/>
                <w:szCs w:val="24"/>
              </w:rPr>
              <w:t xml:space="preserve"> 6.7</w:t>
            </w:r>
          </w:p>
        </w:tc>
        <w:tc>
          <w:tcPr>
            <w:tcW w:w="1217"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2563" w:type="dxa"/>
            <w:vAlign w:val="center"/>
          </w:tcPr>
          <w:p>
            <w:pPr>
              <w:jc w:val="center"/>
              <w:rPr>
                <w:rFonts w:ascii="仿宋_GB2312" w:hAnsi="宋体" w:eastAsia="仿宋_GB2312" w:cs="宋体"/>
                <w:bCs/>
                <w:color w:val="000000" w:themeColor="text1"/>
                <w:kern w:val="0"/>
                <w:sz w:val="24"/>
                <w:szCs w:val="24"/>
              </w:rPr>
            </w:pPr>
            <w:r>
              <w:rPr>
                <w:rFonts w:ascii="仿宋_GB2312" w:hAnsi="宋体" w:eastAsia="仿宋_GB2312" w:cs="宋体"/>
                <w:bCs/>
                <w:color w:val="000000" w:themeColor="text1"/>
                <w:kern w:val="0"/>
                <w:sz w:val="24"/>
                <w:szCs w:val="24"/>
              </w:rPr>
              <w:t>GB17761-2018</w:t>
            </w:r>
            <w:r>
              <w:rPr>
                <w:rFonts w:hint="eastAsia" w:ascii="仿宋_GB2312" w:hAnsi="宋体" w:eastAsia="仿宋_GB2312" w:cs="宋体"/>
                <w:bCs/>
                <w:color w:val="000000" w:themeColor="text1"/>
                <w:kern w:val="0"/>
                <w:sz w:val="24"/>
                <w:szCs w:val="24"/>
              </w:rPr>
              <w:t xml:space="preserve"> 7.8</w:t>
            </w:r>
          </w:p>
        </w:tc>
        <w:tc>
          <w:tcPr>
            <w:tcW w:w="895" w:type="dxa"/>
            <w:vAlign w:val="center"/>
          </w:tcPr>
          <w:p>
            <w:pPr>
              <w:snapToGrid w:val="0"/>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436" w:type="dxa"/>
            <w:gridSpan w:val="6"/>
            <w:vAlign w:val="center"/>
          </w:tcPr>
          <w:p>
            <w:pPr>
              <w:jc w:val="left"/>
              <w:rPr>
                <w:rFonts w:ascii="仿宋_GB2312" w:hAnsi="仿宋" w:eastAsia="仿宋_GB2312" w:cs="Times New Roman"/>
                <w:bCs/>
                <w:color w:val="000000" w:themeColor="text1"/>
                <w:sz w:val="24"/>
                <w:szCs w:val="24"/>
              </w:rPr>
            </w:pPr>
            <w:r>
              <w:rPr>
                <w:rFonts w:hint="eastAsia" w:ascii="仿宋_GB2312" w:hAnsi="宋体" w:eastAsia="仿宋_GB2312" w:cs="Times New Roman"/>
                <w:color w:val="000000" w:themeColor="text1"/>
                <w:sz w:val="24"/>
                <w:szCs w:val="24"/>
              </w:rPr>
              <w:t>注1：“</w:t>
            </w:r>
            <w:r>
              <w:rPr>
                <w:rFonts w:hint="eastAsia" w:ascii="仿宋_GB2312" w:hAnsi="宋体" w:eastAsia="仿宋_GB2312" w:cs="宋体"/>
                <w:bCs/>
                <w:color w:val="000000" w:themeColor="text1"/>
                <w:sz w:val="24"/>
                <w:szCs w:val="24"/>
              </w:rPr>
              <w:t>充电器</w:t>
            </w:r>
            <w:r>
              <w:rPr>
                <w:rFonts w:hint="eastAsia" w:ascii="仿宋_GB2312" w:hAnsi="仿宋" w:eastAsia="仿宋_GB2312" w:cs="Times New Roman"/>
                <w:bCs/>
                <w:color w:val="000000" w:themeColor="text1"/>
                <w:sz w:val="24"/>
                <w:szCs w:val="24"/>
              </w:rPr>
              <w:t>”“</w:t>
            </w:r>
            <w:r>
              <w:rPr>
                <w:rFonts w:hint="eastAsia" w:ascii="仿宋_GB2312" w:hAnsi="宋体" w:eastAsia="仿宋_GB2312" w:cs="宋体"/>
                <w:bCs/>
                <w:color w:val="000000" w:themeColor="text1"/>
                <w:sz w:val="24"/>
                <w:szCs w:val="24"/>
              </w:rPr>
              <w:t>整车质量</w:t>
            </w:r>
            <w:r>
              <w:rPr>
                <w:rFonts w:hint="eastAsia" w:ascii="仿宋_GB2312" w:hAnsi="仿宋" w:eastAsia="仿宋_GB2312" w:cs="Times New Roman"/>
                <w:bCs/>
                <w:color w:val="000000" w:themeColor="text1"/>
                <w:sz w:val="24"/>
                <w:szCs w:val="24"/>
              </w:rPr>
              <w:t>”项目复检时，原样品未损坏选择原样作为复检样品，原样品出现损坏选择备样作为复检样品。</w:t>
            </w:r>
          </w:p>
        </w:tc>
      </w:tr>
    </w:tbl>
    <w:p>
      <w:pPr>
        <w:snapToGrid w:val="0"/>
        <w:spacing w:line="360" w:lineRule="auto"/>
        <w:rPr>
          <w:rFonts w:ascii="仿宋_GB2312" w:hAnsi="宋体" w:eastAsia="仿宋_GB2312" w:cs="Times New Roman"/>
          <w:b/>
          <w:color w:val="000000" w:themeColor="text1"/>
          <w:sz w:val="28"/>
          <w:szCs w:val="28"/>
        </w:rPr>
      </w:pPr>
      <w:r>
        <w:rPr>
          <w:rFonts w:hint="eastAsia" w:ascii="仿宋_GB2312" w:hAnsi="Calibri" w:eastAsia="仿宋_GB2312" w:cs="Sim Sun"/>
          <w:b/>
          <w:color w:val="000000" w:themeColor="text1"/>
          <w:kern w:val="0"/>
          <w:sz w:val="28"/>
          <w:szCs w:val="28"/>
        </w:rPr>
        <w:t>6.</w:t>
      </w:r>
      <w:r>
        <w:rPr>
          <w:rFonts w:ascii="仿宋_GB2312" w:hAnsi="Calibri" w:eastAsia="仿宋_GB2312" w:cs="Sim Sun"/>
          <w:b/>
          <w:color w:val="000000" w:themeColor="text1"/>
          <w:kern w:val="0"/>
          <w:sz w:val="28"/>
          <w:szCs w:val="28"/>
        </w:rPr>
        <w:t>2</w:t>
      </w:r>
      <w:r>
        <w:rPr>
          <w:rFonts w:hint="eastAsia" w:ascii="仿宋_GB2312" w:hAnsi="Calibri" w:eastAsia="仿宋_GB2312" w:cs="Sim Sun"/>
          <w:b/>
          <w:color w:val="000000" w:themeColor="text1"/>
          <w:kern w:val="0"/>
          <w:sz w:val="28"/>
          <w:szCs w:val="28"/>
        </w:rPr>
        <w:t xml:space="preserve"> 检验应注意的问题</w:t>
      </w:r>
    </w:p>
    <w:p>
      <w:pPr>
        <w:snapToGrid w:val="0"/>
        <w:spacing w:line="360" w:lineRule="auto"/>
        <w:rPr>
          <w:rFonts w:ascii="仿宋_GB2312" w:hAnsi="宋体" w:eastAsia="仿宋_GB2312" w:cs="Times New Roman"/>
          <w:iCs/>
          <w:color w:val="000000" w:themeColor="text1"/>
          <w:sz w:val="28"/>
          <w:szCs w:val="28"/>
        </w:rPr>
      </w:pPr>
      <w:r>
        <w:rPr>
          <w:rFonts w:hint="eastAsia" w:ascii="仿宋_GB2312" w:hAnsi="Calibri" w:eastAsia="仿宋_GB2312" w:cs="Sim Sun"/>
          <w:b/>
          <w:color w:val="000000" w:themeColor="text1"/>
          <w:kern w:val="0"/>
          <w:sz w:val="28"/>
          <w:szCs w:val="28"/>
        </w:rPr>
        <w:t>6.</w:t>
      </w:r>
      <w:r>
        <w:rPr>
          <w:rFonts w:ascii="仿宋_GB2312" w:hAnsi="Calibri" w:eastAsia="仿宋_GB2312" w:cs="Sim Sun"/>
          <w:b/>
          <w:color w:val="000000" w:themeColor="text1"/>
          <w:kern w:val="0"/>
          <w:sz w:val="28"/>
          <w:szCs w:val="28"/>
        </w:rPr>
        <w:t>2</w:t>
      </w:r>
      <w:r>
        <w:rPr>
          <w:rFonts w:hint="eastAsia" w:ascii="仿宋_GB2312" w:hAnsi="Calibri" w:eastAsia="仿宋_GB2312" w:cs="Sim Sun"/>
          <w:b/>
          <w:color w:val="000000" w:themeColor="text1"/>
          <w:kern w:val="0"/>
          <w:sz w:val="28"/>
          <w:szCs w:val="28"/>
        </w:rPr>
        <w:t>.1</w:t>
      </w:r>
      <w:r>
        <w:rPr>
          <w:rFonts w:hint="eastAsia" w:ascii="仿宋_GB2312" w:hAnsi="Calibri" w:eastAsia="仿宋_GB2312" w:cs="Sim Sun"/>
          <w:color w:val="000000" w:themeColor="text1"/>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color w:val="000000" w:themeColor="text1"/>
          <w:sz w:val="28"/>
          <w:szCs w:val="28"/>
        </w:rPr>
        <w:t>备用</w:t>
      </w:r>
      <w:r>
        <w:rPr>
          <w:rFonts w:hint="eastAsia" w:ascii="仿宋_GB2312" w:hAnsi="宋体" w:eastAsia="仿宋_GB2312" w:cs="Times New Roman"/>
          <w:iCs/>
          <w:color w:val="000000" w:themeColor="text1"/>
          <w:sz w:val="28"/>
          <w:szCs w:val="28"/>
        </w:rPr>
        <w:t>样品应该贮存在阴凉、干燥、安全、避光处，在整个保存期间应保证签封完整无损。</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6.2.2</w:t>
      </w:r>
      <w:r>
        <w:rPr>
          <w:rFonts w:hint="eastAsia" w:ascii="仿宋_GB2312" w:eastAsia="仿宋_GB2312" w:cs="Sim Sun"/>
          <w:color w:val="000000" w:themeColor="text1"/>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6.2.3</w:t>
      </w:r>
      <w:r>
        <w:rPr>
          <w:rFonts w:hint="eastAsia" w:ascii="仿宋_GB2312" w:eastAsia="仿宋_GB2312" w:cs="Sim Sun"/>
          <w:color w:val="000000" w:themeColor="text1"/>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color w:val="000000" w:themeColor="text1"/>
          <w:kern w:val="0"/>
          <w:sz w:val="28"/>
          <w:szCs w:val="28"/>
        </w:rPr>
      </w:pPr>
      <w:r>
        <w:rPr>
          <w:rFonts w:hint="eastAsia" w:ascii="仿宋_GB2312" w:hAnsi="Calibri" w:eastAsia="仿宋_GB2312" w:cs="Sim Sun"/>
          <w:b/>
          <w:color w:val="000000" w:themeColor="text1"/>
          <w:kern w:val="0"/>
          <w:sz w:val="28"/>
          <w:szCs w:val="28"/>
        </w:rPr>
        <w:t>7 判定原则</w:t>
      </w:r>
    </w:p>
    <w:p>
      <w:pPr>
        <w:snapToGrid w:val="0"/>
        <w:spacing w:line="360" w:lineRule="auto"/>
        <w:ind w:firstLine="560" w:firstLineChars="200"/>
        <w:rPr>
          <w:rFonts w:ascii="仿宋_GB2312" w:hAnsi="Times New Roman" w:eastAsia="仿宋_GB2312" w:cs="Sim Sun"/>
          <w:color w:val="000000" w:themeColor="text1"/>
          <w:kern w:val="0"/>
          <w:sz w:val="28"/>
          <w:szCs w:val="28"/>
        </w:rPr>
      </w:pPr>
      <w:r>
        <w:rPr>
          <w:rFonts w:hint="eastAsia" w:ascii="仿宋_GB2312" w:eastAsia="仿宋_GB2312" w:cs="Sim Sun"/>
          <w:color w:val="000000" w:themeColor="text1"/>
          <w:kern w:val="0"/>
          <w:sz w:val="28"/>
          <w:szCs w:val="28"/>
        </w:rPr>
        <w:t>经检验，所检样品全部项目合格，判该产品本次监督抽查结果合格；出现一项或一项以上</w:t>
      </w:r>
      <w:r>
        <w:rPr>
          <w:rFonts w:hint="eastAsia" w:ascii="仿宋_GB2312" w:hAnsi="宋体" w:eastAsia="仿宋_GB2312"/>
          <w:color w:val="000000" w:themeColor="text1"/>
          <w:sz w:val="28"/>
          <w:szCs w:val="28"/>
        </w:rPr>
        <w:t>项目</w:t>
      </w:r>
      <w:r>
        <w:rPr>
          <w:rFonts w:hint="eastAsia" w:ascii="仿宋_GB2312" w:eastAsia="仿宋_GB2312" w:cs="Sim Sun"/>
          <w:color w:val="000000" w:themeColor="text1"/>
          <w:kern w:val="0"/>
          <w:sz w:val="28"/>
          <w:szCs w:val="28"/>
        </w:rPr>
        <w:t>不合格，判该产品本次监督检验结果不合格。</w:t>
      </w:r>
    </w:p>
    <w:p>
      <w:pPr>
        <w:snapToGrid w:val="0"/>
        <w:spacing w:line="360" w:lineRule="auto"/>
        <w:rPr>
          <w:rFonts w:ascii="仿宋_GB2312" w:hAnsi="Calibri" w:eastAsia="仿宋_GB2312" w:cs="Sim Sun"/>
          <w:b/>
          <w:color w:val="000000" w:themeColor="text1"/>
          <w:kern w:val="0"/>
          <w:sz w:val="28"/>
          <w:szCs w:val="28"/>
        </w:rPr>
      </w:pPr>
      <w:r>
        <w:rPr>
          <w:rFonts w:hint="eastAsia" w:ascii="仿宋_GB2312" w:hAnsi="Calibri" w:eastAsia="仿宋_GB2312" w:cs="Sim Sun"/>
          <w:b/>
          <w:color w:val="000000" w:themeColor="text1"/>
          <w:kern w:val="0"/>
          <w:sz w:val="28"/>
          <w:szCs w:val="28"/>
        </w:rPr>
        <w:t>8 异议处理复检</w:t>
      </w:r>
    </w:p>
    <w:p>
      <w:pPr>
        <w:snapToGrid w:val="0"/>
        <w:spacing w:line="360" w:lineRule="auto"/>
        <w:rPr>
          <w:rFonts w:ascii="仿宋_GB2312" w:eastAsia="仿宋_GB2312" w:cs="Sim Sun"/>
          <w:iCs/>
          <w:color w:val="000000" w:themeColor="text1"/>
          <w:kern w:val="0"/>
          <w:sz w:val="28"/>
          <w:szCs w:val="28"/>
        </w:rPr>
      </w:pPr>
      <w:r>
        <w:rPr>
          <w:rFonts w:ascii="仿宋_GB2312" w:eastAsia="仿宋_GB2312" w:cs="Sim Sun"/>
          <w:b/>
          <w:iCs/>
          <w:color w:val="000000" w:themeColor="text1"/>
          <w:kern w:val="0"/>
          <w:sz w:val="28"/>
          <w:szCs w:val="28"/>
        </w:rPr>
        <w:t>8</w:t>
      </w:r>
      <w:r>
        <w:rPr>
          <w:rFonts w:hint="eastAsia" w:ascii="仿宋_GB2312" w:eastAsia="仿宋_GB2312" w:cs="Sim Sun"/>
          <w:b/>
          <w:iCs/>
          <w:color w:val="000000" w:themeColor="text1"/>
          <w:kern w:val="0"/>
          <w:sz w:val="28"/>
          <w:szCs w:val="28"/>
        </w:rPr>
        <w:t>.1</w:t>
      </w:r>
      <w:r>
        <w:rPr>
          <w:rFonts w:hint="eastAsia" w:ascii="仿宋_GB2312" w:eastAsia="仿宋_GB2312" w:cs="Sim Sun"/>
          <w:iCs/>
          <w:color w:val="000000" w:themeColor="text1"/>
          <w:kern w:val="0"/>
          <w:sz w:val="28"/>
          <w:szCs w:val="28"/>
        </w:rPr>
        <w:t>被抽查企业在收到检验结果，对结果有异议时，</w:t>
      </w:r>
      <w:r>
        <w:rPr>
          <w:rFonts w:ascii="仿宋_GB2312" w:eastAsia="仿宋_GB2312" w:cs="Sim Sun"/>
          <w:iCs/>
          <w:color w:val="000000" w:themeColor="text1"/>
          <w:kern w:val="0"/>
          <w:sz w:val="28"/>
          <w:szCs w:val="28"/>
        </w:rPr>
        <w:t>可以自收到检验结果之日起15日内向</w:t>
      </w:r>
      <w:r>
        <w:rPr>
          <w:rFonts w:hint="eastAsia" w:ascii="仿宋_GB2312" w:eastAsia="仿宋_GB2312" w:cs="Sim Sun"/>
          <w:iCs/>
          <w:color w:val="000000" w:themeColor="text1"/>
          <w:kern w:val="0"/>
          <w:sz w:val="28"/>
          <w:szCs w:val="28"/>
        </w:rPr>
        <w:t>深圳市市场监督管理局</w:t>
      </w:r>
      <w:r>
        <w:rPr>
          <w:rFonts w:ascii="仿宋_GB2312" w:eastAsia="仿宋_GB2312" w:cs="Sim Sun"/>
          <w:iCs/>
          <w:color w:val="000000" w:themeColor="text1"/>
          <w:kern w:val="0"/>
          <w:sz w:val="28"/>
          <w:szCs w:val="28"/>
        </w:rPr>
        <w:t>提出书面复检申请。逾期未提出异议的，视为承认检验结果。</w:t>
      </w:r>
    </w:p>
    <w:p>
      <w:pPr>
        <w:snapToGrid w:val="0"/>
        <w:spacing w:line="360" w:lineRule="auto"/>
        <w:rPr>
          <w:rFonts w:ascii="仿宋_GB2312" w:eastAsia="仿宋_GB2312" w:cs="Sim Sun"/>
          <w:iCs/>
          <w:color w:val="000000" w:themeColor="text1"/>
          <w:kern w:val="0"/>
          <w:sz w:val="28"/>
          <w:szCs w:val="28"/>
        </w:rPr>
      </w:pPr>
      <w:r>
        <w:rPr>
          <w:rFonts w:ascii="仿宋_GB2312" w:eastAsia="仿宋_GB2312" w:cs="Sim Sun"/>
          <w:b/>
          <w:iCs/>
          <w:color w:val="000000" w:themeColor="text1"/>
          <w:kern w:val="0"/>
          <w:sz w:val="28"/>
          <w:szCs w:val="28"/>
        </w:rPr>
        <w:t>8</w:t>
      </w:r>
      <w:r>
        <w:rPr>
          <w:rFonts w:hint="eastAsia" w:ascii="仿宋_GB2312" w:eastAsia="仿宋_GB2312" w:cs="Sim Sun"/>
          <w:b/>
          <w:iCs/>
          <w:color w:val="000000" w:themeColor="text1"/>
          <w:kern w:val="0"/>
          <w:sz w:val="28"/>
          <w:szCs w:val="28"/>
        </w:rPr>
        <w:t>.2</w:t>
      </w:r>
      <w:r>
        <w:rPr>
          <w:rFonts w:ascii="仿宋_GB2312" w:eastAsia="仿宋_GB2312" w:cs="Sim Sun"/>
          <w:iCs/>
          <w:color w:val="000000" w:themeColor="text1"/>
          <w:kern w:val="0"/>
          <w:sz w:val="28"/>
          <w:szCs w:val="28"/>
        </w:rPr>
        <w:t>检验机构</w:t>
      </w:r>
      <w:r>
        <w:rPr>
          <w:rFonts w:hint="eastAsia" w:ascii="仿宋_GB2312" w:eastAsia="仿宋_GB2312" w:cs="Sim Sun"/>
          <w:iCs/>
          <w:color w:val="000000" w:themeColor="text1"/>
          <w:kern w:val="0"/>
          <w:sz w:val="28"/>
          <w:szCs w:val="28"/>
        </w:rPr>
        <w:t>接到深圳市市场监督管理局的复检通知后</w:t>
      </w:r>
      <w:r>
        <w:rPr>
          <w:rFonts w:ascii="仿宋_GB2312" w:eastAsia="仿宋_GB2312" w:cs="Sim Sun"/>
          <w:iCs/>
          <w:color w:val="000000" w:themeColor="text1"/>
          <w:kern w:val="0"/>
          <w:sz w:val="28"/>
          <w:szCs w:val="28"/>
        </w:rPr>
        <w:t>应当按原监督抽查方案</w:t>
      </w:r>
      <w:r>
        <w:rPr>
          <w:rFonts w:hint="eastAsia" w:ascii="仿宋_GB2312" w:eastAsia="仿宋_GB2312" w:cs="Sim Sun"/>
          <w:iCs/>
          <w:color w:val="000000" w:themeColor="text1"/>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color w:val="000000" w:themeColor="text1"/>
          <w:kern w:val="0"/>
          <w:sz w:val="28"/>
          <w:szCs w:val="28"/>
        </w:rPr>
        <w:t>的结论。</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8.</w:t>
      </w:r>
      <w:r>
        <w:rPr>
          <w:rFonts w:ascii="仿宋_GB2312" w:eastAsia="仿宋_GB2312" w:cs="Sim Sun"/>
          <w:b/>
          <w:color w:val="000000" w:themeColor="text1"/>
          <w:kern w:val="0"/>
          <w:sz w:val="28"/>
          <w:szCs w:val="28"/>
        </w:rPr>
        <w:t>3</w:t>
      </w:r>
      <w:r>
        <w:rPr>
          <w:rFonts w:hint="eastAsia" w:ascii="仿宋_GB2312" w:eastAsia="仿宋_GB2312" w:cs="Sim Sun"/>
          <w:iCs/>
          <w:color w:val="000000" w:themeColor="text1"/>
          <w:kern w:val="0"/>
          <w:sz w:val="28"/>
          <w:szCs w:val="28"/>
        </w:rPr>
        <w:t>复验</w:t>
      </w:r>
      <w:r>
        <w:rPr>
          <w:rFonts w:ascii="仿宋_GB2312" w:eastAsia="仿宋_GB2312" w:cs="Sim Sun"/>
          <w:iCs/>
          <w:color w:val="000000" w:themeColor="text1"/>
          <w:kern w:val="0"/>
          <w:sz w:val="28"/>
          <w:szCs w:val="28"/>
        </w:rPr>
        <w:t>检验人员与初检检验人员不得为同一人。</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8.4</w:t>
      </w:r>
      <w:r>
        <w:rPr>
          <w:rFonts w:hint="eastAsia" w:ascii="仿宋_GB2312" w:eastAsia="仿宋_GB2312" w:cs="Sim Sun"/>
          <w:color w:val="000000" w:themeColor="text1"/>
          <w:kern w:val="0"/>
          <w:sz w:val="28"/>
          <w:szCs w:val="28"/>
        </w:rPr>
        <w:t>需对不合格项目复验时，按6.1选择复检样品。当复检结果仍不合格，维持原检验结果不变。当复检结果合格，以复检结果为准。</w:t>
      </w:r>
    </w:p>
    <w:p>
      <w:pPr>
        <w:snapToGrid w:val="0"/>
        <w:spacing w:line="360" w:lineRule="auto"/>
        <w:rPr>
          <w:rFonts w:ascii="仿宋_GB2312" w:eastAsia="仿宋_GB2312" w:cs="Sim Sun"/>
          <w:b/>
          <w:iCs/>
          <w:color w:val="000000" w:themeColor="text1"/>
          <w:kern w:val="0"/>
          <w:sz w:val="28"/>
          <w:szCs w:val="28"/>
        </w:rPr>
      </w:pPr>
      <w:r>
        <w:rPr>
          <w:rFonts w:hint="eastAsia" w:ascii="仿宋_GB2312" w:eastAsia="仿宋_GB2312" w:cs="Sim Sun"/>
          <w:b/>
          <w:iCs/>
          <w:color w:val="000000" w:themeColor="text1"/>
          <w:kern w:val="0"/>
          <w:sz w:val="28"/>
          <w:szCs w:val="28"/>
        </w:rPr>
        <w:t>8.</w:t>
      </w:r>
      <w:r>
        <w:rPr>
          <w:rFonts w:ascii="仿宋_GB2312" w:eastAsia="仿宋_GB2312" w:cs="Sim Sun"/>
          <w:b/>
          <w:iCs/>
          <w:color w:val="000000" w:themeColor="text1"/>
          <w:kern w:val="0"/>
          <w:sz w:val="28"/>
          <w:szCs w:val="28"/>
        </w:rPr>
        <w:t>5</w:t>
      </w:r>
      <w:r>
        <w:rPr>
          <w:rFonts w:ascii="仿宋_GB2312" w:eastAsia="仿宋_GB2312" w:cs="Sim Sun"/>
          <w:color w:val="000000" w:themeColor="text1"/>
          <w:kern w:val="0"/>
          <w:sz w:val="28"/>
          <w:szCs w:val="28"/>
        </w:rPr>
        <w:t>采用备样复验时，</w:t>
      </w:r>
      <w:r>
        <w:rPr>
          <w:rFonts w:hint="eastAsia" w:ascii="仿宋_GB2312" w:eastAsia="仿宋_GB2312" w:cs="Sim Sun"/>
          <w:color w:val="000000" w:themeColor="text1"/>
          <w:kern w:val="0"/>
          <w:sz w:val="28"/>
          <w:szCs w:val="28"/>
        </w:rPr>
        <w:t>若备样与原样的规格尺寸、结构、元器件等不一致时，检验结果以原检验结果为准。</w:t>
      </w:r>
    </w:p>
    <w:p>
      <w:pPr>
        <w:snapToGrid w:val="0"/>
        <w:spacing w:line="360" w:lineRule="auto"/>
        <w:rPr>
          <w:rFonts w:ascii="仿宋_GB2312" w:eastAsia="仿宋_GB2312" w:cs="Sim Sun"/>
          <w:iCs/>
          <w:color w:val="000000" w:themeColor="text1"/>
          <w:kern w:val="0"/>
          <w:sz w:val="28"/>
          <w:szCs w:val="28"/>
        </w:rPr>
      </w:pPr>
      <w:r>
        <w:rPr>
          <w:rFonts w:hint="eastAsia" w:ascii="仿宋_GB2312" w:eastAsia="仿宋_GB2312" w:cs="Sim Sun"/>
          <w:b/>
          <w:iCs/>
          <w:color w:val="000000" w:themeColor="text1"/>
          <w:kern w:val="0"/>
          <w:sz w:val="28"/>
          <w:szCs w:val="28"/>
        </w:rPr>
        <w:t>8.</w:t>
      </w:r>
      <w:r>
        <w:rPr>
          <w:rFonts w:ascii="仿宋_GB2312" w:eastAsia="仿宋_GB2312" w:cs="Sim Sun"/>
          <w:b/>
          <w:iCs/>
          <w:color w:val="000000" w:themeColor="text1"/>
          <w:kern w:val="0"/>
          <w:sz w:val="28"/>
          <w:szCs w:val="28"/>
        </w:rPr>
        <w:t>6</w:t>
      </w:r>
      <w:r>
        <w:rPr>
          <w:rFonts w:hint="eastAsia" w:ascii="仿宋_GB2312" w:eastAsia="仿宋_GB2312" w:cs="Sim Sun"/>
          <w:iCs/>
          <w:color w:val="000000" w:themeColor="text1"/>
          <w:kern w:val="0"/>
          <w:sz w:val="28"/>
          <w:szCs w:val="28"/>
        </w:rPr>
        <w:t>深圳市市场监督管理局根据初检</w:t>
      </w:r>
      <w:r>
        <w:rPr>
          <w:rFonts w:ascii="仿宋_GB2312" w:eastAsia="仿宋_GB2312" w:cs="Sim Sun"/>
          <w:iCs/>
          <w:color w:val="000000" w:themeColor="text1"/>
          <w:kern w:val="0"/>
          <w:sz w:val="28"/>
          <w:szCs w:val="28"/>
        </w:rPr>
        <w:t>、复</w:t>
      </w:r>
      <w:r>
        <w:rPr>
          <w:rFonts w:hint="eastAsia" w:ascii="仿宋_GB2312" w:eastAsia="仿宋_GB2312" w:cs="Sim Sun"/>
          <w:iCs/>
          <w:color w:val="000000" w:themeColor="text1"/>
          <w:kern w:val="0"/>
          <w:sz w:val="28"/>
          <w:szCs w:val="28"/>
        </w:rPr>
        <w:t>验</w:t>
      </w:r>
      <w:r>
        <w:rPr>
          <w:rFonts w:ascii="仿宋_GB2312" w:eastAsia="仿宋_GB2312" w:cs="Sim Sun"/>
          <w:iCs/>
          <w:color w:val="000000" w:themeColor="text1"/>
          <w:kern w:val="0"/>
          <w:sz w:val="28"/>
          <w:szCs w:val="28"/>
        </w:rPr>
        <w:t>结果及企业提交的</w:t>
      </w:r>
      <w:r>
        <w:rPr>
          <w:rFonts w:hint="eastAsia" w:ascii="仿宋_GB2312" w:eastAsia="仿宋_GB2312" w:cs="Sim Sun"/>
          <w:iCs/>
          <w:color w:val="000000" w:themeColor="text1"/>
          <w:kern w:val="0"/>
          <w:sz w:val="28"/>
          <w:szCs w:val="28"/>
        </w:rPr>
        <w:t>证明</w:t>
      </w:r>
      <w:r>
        <w:rPr>
          <w:rFonts w:ascii="仿宋_GB2312" w:eastAsia="仿宋_GB2312" w:cs="Sim Sun"/>
          <w:iCs/>
          <w:color w:val="000000" w:themeColor="text1"/>
          <w:kern w:val="0"/>
          <w:sz w:val="28"/>
          <w:szCs w:val="28"/>
        </w:rPr>
        <w:t>材料，做出复检结论</w:t>
      </w:r>
      <w:r>
        <w:rPr>
          <w:rFonts w:hint="eastAsia" w:ascii="仿宋_GB2312" w:eastAsia="仿宋_GB2312" w:cs="Sim Sun"/>
          <w:iCs/>
          <w:color w:val="000000" w:themeColor="text1"/>
          <w:kern w:val="0"/>
          <w:sz w:val="28"/>
          <w:szCs w:val="28"/>
        </w:rPr>
        <w:t>，</w:t>
      </w:r>
      <w:r>
        <w:rPr>
          <w:rFonts w:ascii="仿宋_GB2312" w:eastAsia="仿宋_GB2312" w:cs="Sim Sun"/>
          <w:iCs/>
          <w:color w:val="000000" w:themeColor="text1"/>
          <w:kern w:val="0"/>
          <w:sz w:val="28"/>
          <w:szCs w:val="28"/>
        </w:rPr>
        <w:t>复检结论为最终结论。</w:t>
      </w:r>
    </w:p>
    <w:p>
      <w:pPr>
        <w:snapToGrid w:val="0"/>
        <w:spacing w:line="360" w:lineRule="auto"/>
        <w:rPr>
          <w:rFonts w:ascii="仿宋_GB2312" w:hAnsi="宋体" w:eastAsia="仿宋_GB2312"/>
          <w:b/>
          <w:color w:val="000000" w:themeColor="text1"/>
          <w:sz w:val="28"/>
          <w:szCs w:val="28"/>
        </w:rPr>
      </w:pPr>
      <w:r>
        <w:rPr>
          <w:rFonts w:ascii="仿宋_GB2312" w:hAnsi="宋体" w:eastAsia="仿宋_GB2312"/>
          <w:b/>
          <w:color w:val="000000" w:themeColor="text1"/>
          <w:sz w:val="28"/>
          <w:szCs w:val="28"/>
        </w:rPr>
        <w:t>9</w:t>
      </w:r>
      <w:r>
        <w:rPr>
          <w:rFonts w:hint="eastAsia" w:ascii="仿宋_GB2312" w:hAnsi="宋体" w:eastAsia="仿宋_GB2312"/>
          <w:b/>
          <w:color w:val="000000" w:themeColor="text1"/>
          <w:sz w:val="28"/>
          <w:szCs w:val="28"/>
        </w:rPr>
        <w:t xml:space="preserve"> 附则</w:t>
      </w:r>
    </w:p>
    <w:p>
      <w:pPr>
        <w:snapToGrid w:val="0"/>
        <w:spacing w:line="360" w:lineRule="auto"/>
        <w:ind w:firstLine="537" w:firstLineChars="192"/>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本规范编制单位：</w:t>
      </w:r>
      <w:r>
        <w:rPr>
          <w:rFonts w:hint="eastAsia" w:ascii="仿宋_GB2312" w:eastAsia="仿宋_GB2312"/>
          <w:color w:val="000000" w:themeColor="text1"/>
          <w:sz w:val="28"/>
          <w:szCs w:val="28"/>
        </w:rPr>
        <w:t>深圳市计量质量检测研究院</w:t>
      </w:r>
      <w:r>
        <w:rPr>
          <w:rFonts w:hint="eastAsia" w:ascii="仿宋_GB2312" w:hAnsi="宋体" w:eastAsia="仿宋_GB2312"/>
          <w:color w:val="000000" w:themeColor="text1"/>
          <w:sz w:val="28"/>
          <w:szCs w:val="28"/>
        </w:rPr>
        <w:t>。</w:t>
      </w:r>
    </w:p>
    <w:p>
      <w:pPr>
        <w:snapToGrid w:val="0"/>
        <w:spacing w:line="360" w:lineRule="auto"/>
        <w:ind w:firstLine="537" w:firstLineChars="192"/>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本规范由</w:t>
      </w:r>
      <w:r>
        <w:rPr>
          <w:rFonts w:hint="eastAsia" w:ascii="仿宋_GB2312" w:hAnsi="宋体" w:eastAsia="仿宋_GB2312"/>
          <w:iCs/>
          <w:color w:val="000000" w:themeColor="text1"/>
          <w:sz w:val="28"/>
          <w:szCs w:val="28"/>
        </w:rPr>
        <w:t>深圳市市场监督管理局质量处</w:t>
      </w:r>
      <w:r>
        <w:rPr>
          <w:rFonts w:hint="eastAsia" w:ascii="仿宋_GB2312" w:hAnsi="宋体" w:eastAsia="仿宋_GB2312"/>
          <w:color w:val="000000" w:themeColor="text1"/>
          <w:sz w:val="28"/>
          <w:szCs w:val="28"/>
        </w:rPr>
        <w:t>管理。</w:t>
      </w: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rPr>
          <w:color w:val="000000" w:themeColor="text1"/>
        </w:rPr>
      </w:pPr>
      <w:bookmarkStart w:id="1" w:name="_GoBack"/>
      <w:bookmarkEnd w:id="1"/>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宋体"/>
    <w:panose1 w:val="00000000000000000000"/>
    <w:charset w:val="86"/>
    <w:family w:val="swiss"/>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7352D"/>
    <w:rsid w:val="00006671"/>
    <w:rsid w:val="00011B29"/>
    <w:rsid w:val="00045AEC"/>
    <w:rsid w:val="00071E11"/>
    <w:rsid w:val="00081B9C"/>
    <w:rsid w:val="00083E13"/>
    <w:rsid w:val="000A11A1"/>
    <w:rsid w:val="000B10B7"/>
    <w:rsid w:val="000C351E"/>
    <w:rsid w:val="001103F1"/>
    <w:rsid w:val="001104C4"/>
    <w:rsid w:val="00117AA9"/>
    <w:rsid w:val="001331CD"/>
    <w:rsid w:val="00146DF8"/>
    <w:rsid w:val="001477F4"/>
    <w:rsid w:val="0015256A"/>
    <w:rsid w:val="00156112"/>
    <w:rsid w:val="001A6F63"/>
    <w:rsid w:val="001A7241"/>
    <w:rsid w:val="001B1B68"/>
    <w:rsid w:val="002043D6"/>
    <w:rsid w:val="002105F0"/>
    <w:rsid w:val="002445BF"/>
    <w:rsid w:val="00244C3A"/>
    <w:rsid w:val="00245EBE"/>
    <w:rsid w:val="00266F51"/>
    <w:rsid w:val="00267E0A"/>
    <w:rsid w:val="00267F71"/>
    <w:rsid w:val="00271EE4"/>
    <w:rsid w:val="00273055"/>
    <w:rsid w:val="0028178E"/>
    <w:rsid w:val="00283FB9"/>
    <w:rsid w:val="002859F5"/>
    <w:rsid w:val="002B31F3"/>
    <w:rsid w:val="002E7E02"/>
    <w:rsid w:val="002F2682"/>
    <w:rsid w:val="00300563"/>
    <w:rsid w:val="003110CC"/>
    <w:rsid w:val="003230F2"/>
    <w:rsid w:val="00327A52"/>
    <w:rsid w:val="00334DAC"/>
    <w:rsid w:val="003575D8"/>
    <w:rsid w:val="003576AC"/>
    <w:rsid w:val="003725E7"/>
    <w:rsid w:val="00393289"/>
    <w:rsid w:val="003C362F"/>
    <w:rsid w:val="003C3C46"/>
    <w:rsid w:val="003C5ABF"/>
    <w:rsid w:val="003D653A"/>
    <w:rsid w:val="003E2016"/>
    <w:rsid w:val="003E4FA7"/>
    <w:rsid w:val="003F5C62"/>
    <w:rsid w:val="00410908"/>
    <w:rsid w:val="004144CB"/>
    <w:rsid w:val="00440B3B"/>
    <w:rsid w:val="00442803"/>
    <w:rsid w:val="00451A9C"/>
    <w:rsid w:val="00451F77"/>
    <w:rsid w:val="00455F50"/>
    <w:rsid w:val="00457393"/>
    <w:rsid w:val="00467256"/>
    <w:rsid w:val="00476E3B"/>
    <w:rsid w:val="004864E2"/>
    <w:rsid w:val="0049380F"/>
    <w:rsid w:val="0049752F"/>
    <w:rsid w:val="004C1334"/>
    <w:rsid w:val="004D3B94"/>
    <w:rsid w:val="004E33B6"/>
    <w:rsid w:val="004E458F"/>
    <w:rsid w:val="004E7D91"/>
    <w:rsid w:val="004F0F72"/>
    <w:rsid w:val="00507B81"/>
    <w:rsid w:val="00544B94"/>
    <w:rsid w:val="00545A12"/>
    <w:rsid w:val="00550CE0"/>
    <w:rsid w:val="00552A51"/>
    <w:rsid w:val="0056250E"/>
    <w:rsid w:val="00584A7F"/>
    <w:rsid w:val="00590B36"/>
    <w:rsid w:val="005A43F8"/>
    <w:rsid w:val="005B31B5"/>
    <w:rsid w:val="005B7966"/>
    <w:rsid w:val="005D4455"/>
    <w:rsid w:val="005D54BD"/>
    <w:rsid w:val="005D76DD"/>
    <w:rsid w:val="005F1463"/>
    <w:rsid w:val="006250FE"/>
    <w:rsid w:val="00634101"/>
    <w:rsid w:val="006434F8"/>
    <w:rsid w:val="006460D1"/>
    <w:rsid w:val="0064613E"/>
    <w:rsid w:val="0064797C"/>
    <w:rsid w:val="006504DA"/>
    <w:rsid w:val="006575FA"/>
    <w:rsid w:val="006622F3"/>
    <w:rsid w:val="0066561D"/>
    <w:rsid w:val="00676815"/>
    <w:rsid w:val="00687EAC"/>
    <w:rsid w:val="00694207"/>
    <w:rsid w:val="006B0A9F"/>
    <w:rsid w:val="006B3B3C"/>
    <w:rsid w:val="006C3325"/>
    <w:rsid w:val="00720118"/>
    <w:rsid w:val="00744DF2"/>
    <w:rsid w:val="00744F35"/>
    <w:rsid w:val="00752013"/>
    <w:rsid w:val="00757BD9"/>
    <w:rsid w:val="0076203D"/>
    <w:rsid w:val="007764B4"/>
    <w:rsid w:val="00776E2E"/>
    <w:rsid w:val="007932CA"/>
    <w:rsid w:val="007C0F87"/>
    <w:rsid w:val="007C1172"/>
    <w:rsid w:val="007E040E"/>
    <w:rsid w:val="007E65A6"/>
    <w:rsid w:val="007F32C5"/>
    <w:rsid w:val="008142D4"/>
    <w:rsid w:val="00842D30"/>
    <w:rsid w:val="00843511"/>
    <w:rsid w:val="00845C8F"/>
    <w:rsid w:val="008508B1"/>
    <w:rsid w:val="008647C6"/>
    <w:rsid w:val="00864A08"/>
    <w:rsid w:val="00866E1E"/>
    <w:rsid w:val="0087352D"/>
    <w:rsid w:val="00886BC3"/>
    <w:rsid w:val="0089623D"/>
    <w:rsid w:val="0089682D"/>
    <w:rsid w:val="008C1798"/>
    <w:rsid w:val="008D2AF9"/>
    <w:rsid w:val="008D355B"/>
    <w:rsid w:val="008D5AFB"/>
    <w:rsid w:val="008D5D37"/>
    <w:rsid w:val="008E6E75"/>
    <w:rsid w:val="008F3349"/>
    <w:rsid w:val="00904E14"/>
    <w:rsid w:val="009115FA"/>
    <w:rsid w:val="00917DB8"/>
    <w:rsid w:val="00921152"/>
    <w:rsid w:val="0092328F"/>
    <w:rsid w:val="009248B2"/>
    <w:rsid w:val="009250E2"/>
    <w:rsid w:val="009673F6"/>
    <w:rsid w:val="0098325A"/>
    <w:rsid w:val="0098765A"/>
    <w:rsid w:val="009A0C00"/>
    <w:rsid w:val="009A2FD4"/>
    <w:rsid w:val="009A60CE"/>
    <w:rsid w:val="009C09F5"/>
    <w:rsid w:val="009F427A"/>
    <w:rsid w:val="00A04793"/>
    <w:rsid w:val="00A13092"/>
    <w:rsid w:val="00A17997"/>
    <w:rsid w:val="00A32371"/>
    <w:rsid w:val="00A37F84"/>
    <w:rsid w:val="00A45FB3"/>
    <w:rsid w:val="00A679C5"/>
    <w:rsid w:val="00A73AAB"/>
    <w:rsid w:val="00A760D0"/>
    <w:rsid w:val="00A8075B"/>
    <w:rsid w:val="00A82B4E"/>
    <w:rsid w:val="00A93AEE"/>
    <w:rsid w:val="00AA2557"/>
    <w:rsid w:val="00AA57A2"/>
    <w:rsid w:val="00AA6544"/>
    <w:rsid w:val="00AA69E7"/>
    <w:rsid w:val="00AB00BE"/>
    <w:rsid w:val="00AB6F5E"/>
    <w:rsid w:val="00AC2428"/>
    <w:rsid w:val="00AD41D2"/>
    <w:rsid w:val="00AE6A3C"/>
    <w:rsid w:val="00B2219E"/>
    <w:rsid w:val="00B23B7D"/>
    <w:rsid w:val="00B367EC"/>
    <w:rsid w:val="00B40D4E"/>
    <w:rsid w:val="00B47B08"/>
    <w:rsid w:val="00B47E10"/>
    <w:rsid w:val="00B51145"/>
    <w:rsid w:val="00B74400"/>
    <w:rsid w:val="00B82839"/>
    <w:rsid w:val="00B96E12"/>
    <w:rsid w:val="00B9743F"/>
    <w:rsid w:val="00BA0657"/>
    <w:rsid w:val="00BD5385"/>
    <w:rsid w:val="00BE5675"/>
    <w:rsid w:val="00C01E7D"/>
    <w:rsid w:val="00C0547A"/>
    <w:rsid w:val="00C13CE6"/>
    <w:rsid w:val="00C16673"/>
    <w:rsid w:val="00C30202"/>
    <w:rsid w:val="00C5760C"/>
    <w:rsid w:val="00C7465F"/>
    <w:rsid w:val="00C74C1E"/>
    <w:rsid w:val="00C82ED5"/>
    <w:rsid w:val="00C91CE2"/>
    <w:rsid w:val="00CB7D12"/>
    <w:rsid w:val="00CC7818"/>
    <w:rsid w:val="00CD5A9E"/>
    <w:rsid w:val="00CF46C3"/>
    <w:rsid w:val="00CF4D8B"/>
    <w:rsid w:val="00D0449B"/>
    <w:rsid w:val="00D32A3E"/>
    <w:rsid w:val="00D43CD3"/>
    <w:rsid w:val="00D45A46"/>
    <w:rsid w:val="00D54DD1"/>
    <w:rsid w:val="00D83A8B"/>
    <w:rsid w:val="00DA05A8"/>
    <w:rsid w:val="00DA52B4"/>
    <w:rsid w:val="00DB3246"/>
    <w:rsid w:val="00DB68C0"/>
    <w:rsid w:val="00DC1E0B"/>
    <w:rsid w:val="00DC1FDF"/>
    <w:rsid w:val="00DC4635"/>
    <w:rsid w:val="00DD1CDC"/>
    <w:rsid w:val="00DD2244"/>
    <w:rsid w:val="00DD572D"/>
    <w:rsid w:val="00DE6471"/>
    <w:rsid w:val="00E02279"/>
    <w:rsid w:val="00E111A4"/>
    <w:rsid w:val="00E16B13"/>
    <w:rsid w:val="00E16E2B"/>
    <w:rsid w:val="00E2135D"/>
    <w:rsid w:val="00E73BF5"/>
    <w:rsid w:val="00E766E9"/>
    <w:rsid w:val="00E80D30"/>
    <w:rsid w:val="00E84505"/>
    <w:rsid w:val="00EA4293"/>
    <w:rsid w:val="00EB0A44"/>
    <w:rsid w:val="00EB1E85"/>
    <w:rsid w:val="00EB22D7"/>
    <w:rsid w:val="00ED4628"/>
    <w:rsid w:val="00EF2180"/>
    <w:rsid w:val="00F00548"/>
    <w:rsid w:val="00F03FA6"/>
    <w:rsid w:val="00F102E8"/>
    <w:rsid w:val="00F2627D"/>
    <w:rsid w:val="00F336D3"/>
    <w:rsid w:val="00F35B1E"/>
    <w:rsid w:val="00F4112B"/>
    <w:rsid w:val="00F4546E"/>
    <w:rsid w:val="00F45C59"/>
    <w:rsid w:val="00F56B0F"/>
    <w:rsid w:val="00F74A89"/>
    <w:rsid w:val="00F835DD"/>
    <w:rsid w:val="00F8401A"/>
    <w:rsid w:val="00FE73FE"/>
    <w:rsid w:val="00FE7DFA"/>
    <w:rsid w:val="014C0C5E"/>
    <w:rsid w:val="01DE1569"/>
    <w:rsid w:val="02A65097"/>
    <w:rsid w:val="04322CFC"/>
    <w:rsid w:val="04990108"/>
    <w:rsid w:val="0696034D"/>
    <w:rsid w:val="095C41B3"/>
    <w:rsid w:val="0A01758E"/>
    <w:rsid w:val="0BB33C91"/>
    <w:rsid w:val="0BDC48C9"/>
    <w:rsid w:val="0D6C7529"/>
    <w:rsid w:val="0DFE460E"/>
    <w:rsid w:val="0E4660CA"/>
    <w:rsid w:val="0E820B93"/>
    <w:rsid w:val="1084570D"/>
    <w:rsid w:val="10DA1B9D"/>
    <w:rsid w:val="12D31BB5"/>
    <w:rsid w:val="132957C0"/>
    <w:rsid w:val="190D6A6A"/>
    <w:rsid w:val="1A93755D"/>
    <w:rsid w:val="1AA97951"/>
    <w:rsid w:val="1C8A6B10"/>
    <w:rsid w:val="1F1E479E"/>
    <w:rsid w:val="222560C3"/>
    <w:rsid w:val="243D06DB"/>
    <w:rsid w:val="25EA6212"/>
    <w:rsid w:val="26222707"/>
    <w:rsid w:val="265D6B1F"/>
    <w:rsid w:val="29BD3A9B"/>
    <w:rsid w:val="2C306D62"/>
    <w:rsid w:val="2F8D7A5C"/>
    <w:rsid w:val="301D33A9"/>
    <w:rsid w:val="35E93DD4"/>
    <w:rsid w:val="37B36432"/>
    <w:rsid w:val="39A551DA"/>
    <w:rsid w:val="3A710F23"/>
    <w:rsid w:val="3C4A0A35"/>
    <w:rsid w:val="3C902FFA"/>
    <w:rsid w:val="3C9B1D5B"/>
    <w:rsid w:val="3FDC22AB"/>
    <w:rsid w:val="40830BCC"/>
    <w:rsid w:val="41ED6EBC"/>
    <w:rsid w:val="44820A3D"/>
    <w:rsid w:val="44D60D15"/>
    <w:rsid w:val="45243DE2"/>
    <w:rsid w:val="464944E6"/>
    <w:rsid w:val="467F0383"/>
    <w:rsid w:val="47C52D75"/>
    <w:rsid w:val="48061FCE"/>
    <w:rsid w:val="4A01140D"/>
    <w:rsid w:val="4A1E1254"/>
    <w:rsid w:val="4AE344B1"/>
    <w:rsid w:val="4D282777"/>
    <w:rsid w:val="4E30733A"/>
    <w:rsid w:val="4F282C83"/>
    <w:rsid w:val="4F801CA2"/>
    <w:rsid w:val="53274DDB"/>
    <w:rsid w:val="536430F6"/>
    <w:rsid w:val="55703F33"/>
    <w:rsid w:val="557D1A15"/>
    <w:rsid w:val="583802CA"/>
    <w:rsid w:val="584C2830"/>
    <w:rsid w:val="59DB10E3"/>
    <w:rsid w:val="5A233547"/>
    <w:rsid w:val="5A9B3D9E"/>
    <w:rsid w:val="5AB939FB"/>
    <w:rsid w:val="5C2F37C7"/>
    <w:rsid w:val="5C422BD0"/>
    <w:rsid w:val="5D982F16"/>
    <w:rsid w:val="60F17B7B"/>
    <w:rsid w:val="61505C3C"/>
    <w:rsid w:val="62272587"/>
    <w:rsid w:val="641E1882"/>
    <w:rsid w:val="65AE0E75"/>
    <w:rsid w:val="66DA000A"/>
    <w:rsid w:val="67D521E2"/>
    <w:rsid w:val="68E71A02"/>
    <w:rsid w:val="69073A6E"/>
    <w:rsid w:val="69866BCD"/>
    <w:rsid w:val="6C334906"/>
    <w:rsid w:val="6CB924BC"/>
    <w:rsid w:val="6DBC4840"/>
    <w:rsid w:val="6DC03FF6"/>
    <w:rsid w:val="6E840176"/>
    <w:rsid w:val="6F8177BF"/>
    <w:rsid w:val="6FBB2E41"/>
    <w:rsid w:val="71724D3B"/>
    <w:rsid w:val="73A13D14"/>
    <w:rsid w:val="741C38EB"/>
    <w:rsid w:val="74306DFC"/>
    <w:rsid w:val="75504DB9"/>
    <w:rsid w:val="76E4535B"/>
    <w:rsid w:val="78B92251"/>
    <w:rsid w:val="7A024A04"/>
    <w:rsid w:val="7B4D3427"/>
    <w:rsid w:val="7BD239EE"/>
    <w:rsid w:val="7CB70275"/>
    <w:rsid w:val="7CE476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3"/>
    <w:unhideWhenUsed/>
    <w:qFormat/>
    <w:uiPriority w:val="99"/>
    <w:rPr>
      <w:rFonts w:asciiTheme="minorHAnsi" w:hAnsiTheme="minorHAnsi" w:eastAsiaTheme="minorEastAsia" w:cstheme="minorBidi"/>
      <w:b/>
      <w:bCs/>
      <w:szCs w:val="22"/>
    </w:rPr>
  </w:style>
  <w:style w:type="paragraph" w:styleId="3">
    <w:name w:val="annotation text"/>
    <w:basedOn w:val="1"/>
    <w:link w:val="28"/>
    <w:qFormat/>
    <w:uiPriority w:val="0"/>
    <w:pPr>
      <w:jc w:val="left"/>
    </w:pPr>
    <w:rPr>
      <w:rFonts w:ascii="Times New Roman" w:hAnsi="Times New Roman" w:eastAsia="宋体" w:cs="Times New Roman"/>
      <w:szCs w:val="24"/>
    </w:rPr>
  </w:style>
  <w:style w:type="paragraph" w:styleId="4">
    <w:name w:val="Body Text Indent"/>
    <w:basedOn w:val="1"/>
    <w:link w:val="22"/>
    <w:qFormat/>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5">
    <w:name w:val="Plain Text"/>
    <w:basedOn w:val="1"/>
    <w:link w:val="25"/>
    <w:qFormat/>
    <w:uiPriority w:val="0"/>
    <w:rPr>
      <w:rFonts w:ascii="宋体" w:hAnsi="Courier New" w:eastAsia="宋体" w:cs="Times New Roman"/>
      <w:szCs w:val="21"/>
    </w:rPr>
  </w:style>
  <w:style w:type="paragraph" w:styleId="6">
    <w:name w:val="Date"/>
    <w:basedOn w:val="1"/>
    <w:next w:val="1"/>
    <w:link w:val="34"/>
    <w:unhideWhenUsed/>
    <w:qFormat/>
    <w:uiPriority w:val="99"/>
    <w:pPr>
      <w:ind w:left="100" w:leftChars="2500"/>
    </w:pPr>
  </w:style>
  <w:style w:type="paragraph" w:styleId="7">
    <w:name w:val="Body Text Indent 2"/>
    <w:basedOn w:val="1"/>
    <w:link w:val="26"/>
    <w:qFormat/>
    <w:uiPriority w:val="0"/>
    <w:pPr>
      <w:spacing w:after="120" w:line="480" w:lineRule="auto"/>
      <w:ind w:left="420" w:leftChars="200"/>
    </w:pPr>
    <w:rPr>
      <w:rFonts w:ascii="Times New Roman" w:hAnsi="Times New Roman" w:eastAsia="宋体" w:cs="Times New Roman"/>
      <w:szCs w:val="24"/>
    </w:rPr>
  </w:style>
  <w:style w:type="paragraph" w:styleId="8">
    <w:name w:val="Balloon Text"/>
    <w:basedOn w:val="1"/>
    <w:link w:val="23"/>
    <w:semiHidden/>
    <w:qFormat/>
    <w:uiPriority w:val="0"/>
    <w:rPr>
      <w:rFonts w:ascii="Times New Roman" w:hAnsi="Times New Roman" w:eastAsia="宋体" w:cs="Times New Roman"/>
      <w:sz w:val="18"/>
      <w:szCs w:val="18"/>
    </w:rPr>
  </w:style>
  <w:style w:type="paragraph" w:styleId="9">
    <w:name w:val="footer"/>
    <w:basedOn w:val="1"/>
    <w:link w:val="1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20"/>
    <w:qFormat/>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1">
    <w:name w:val="Body Text Indent 3"/>
    <w:basedOn w:val="1"/>
    <w:link w:val="27"/>
    <w:qFormat/>
    <w:uiPriority w:val="0"/>
    <w:pPr>
      <w:spacing w:after="120"/>
      <w:ind w:left="420" w:leftChars="200"/>
    </w:pPr>
    <w:rPr>
      <w:rFonts w:ascii="Times New Roman" w:hAnsi="Times New Roman" w:eastAsia="宋体" w:cs="Times New Roman"/>
      <w:sz w:val="16"/>
      <w:szCs w:val="16"/>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qFormat/>
    <w:uiPriority w:val="0"/>
    <w:rPr>
      <w:b/>
      <w:bCs/>
    </w:rPr>
  </w:style>
  <w:style w:type="character" w:styleId="15">
    <w:name w:val="page number"/>
    <w:basedOn w:val="13"/>
    <w:qFormat/>
    <w:uiPriority w:val="0"/>
  </w:style>
  <w:style w:type="character" w:styleId="16">
    <w:name w:val="annotation reference"/>
    <w:basedOn w:val="13"/>
    <w:qFormat/>
    <w:uiPriority w:val="0"/>
    <w:rPr>
      <w:sz w:val="21"/>
      <w:szCs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脚 Char"/>
    <w:basedOn w:val="13"/>
    <w:link w:val="9"/>
    <w:qFormat/>
    <w:uiPriority w:val="0"/>
    <w:rPr>
      <w:rFonts w:ascii="Times New Roman" w:hAnsi="Times New Roman" w:eastAsia="宋体" w:cs="Times New Roman"/>
      <w:sz w:val="18"/>
      <w:szCs w:val="18"/>
    </w:rPr>
  </w:style>
  <w:style w:type="character" w:customStyle="1" w:styleId="20">
    <w:name w:val="页眉 Char"/>
    <w:basedOn w:val="13"/>
    <w:link w:val="10"/>
    <w:qFormat/>
    <w:uiPriority w:val="99"/>
    <w:rPr>
      <w:rFonts w:cs="Times New Roman" w:asciiTheme="majorEastAsia" w:hAnsiTheme="majorEastAsia" w:eastAsiaTheme="majorEastAsia"/>
      <w:b/>
      <w:szCs w:val="21"/>
    </w:rPr>
  </w:style>
  <w:style w:type="paragraph" w:customStyle="1" w:styleId="21">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2">
    <w:name w:val="正文文本缩进 Char"/>
    <w:basedOn w:val="13"/>
    <w:link w:val="4"/>
    <w:qFormat/>
    <w:uiPriority w:val="0"/>
    <w:rPr>
      <w:rFonts w:ascii="Times New Roman" w:hAnsi="Times New Roman" w:eastAsia="宋体" w:cs="Times New Roman"/>
      <w:kern w:val="0"/>
      <w:sz w:val="24"/>
      <w:szCs w:val="20"/>
    </w:rPr>
  </w:style>
  <w:style w:type="character" w:customStyle="1" w:styleId="23">
    <w:name w:val="批注框文本 Char"/>
    <w:basedOn w:val="13"/>
    <w:link w:val="8"/>
    <w:semiHidden/>
    <w:qFormat/>
    <w:uiPriority w:val="0"/>
    <w:rPr>
      <w:rFonts w:ascii="Times New Roman" w:hAnsi="Times New Roman" w:eastAsia="宋体" w:cs="Times New Roman"/>
      <w:sz w:val="18"/>
      <w:szCs w:val="18"/>
    </w:rPr>
  </w:style>
  <w:style w:type="paragraph" w:customStyle="1" w:styleId="24">
    <w:name w:val="Char1"/>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25">
    <w:name w:val="纯文本 Char"/>
    <w:basedOn w:val="13"/>
    <w:link w:val="5"/>
    <w:qFormat/>
    <w:uiPriority w:val="0"/>
    <w:rPr>
      <w:rFonts w:ascii="宋体" w:hAnsi="Courier New" w:eastAsia="宋体" w:cs="Times New Roman"/>
      <w:szCs w:val="21"/>
    </w:rPr>
  </w:style>
  <w:style w:type="character" w:customStyle="1" w:styleId="26">
    <w:name w:val="正文文本缩进 2 Char"/>
    <w:basedOn w:val="13"/>
    <w:link w:val="7"/>
    <w:qFormat/>
    <w:uiPriority w:val="0"/>
    <w:rPr>
      <w:rFonts w:ascii="Times New Roman" w:hAnsi="Times New Roman" w:eastAsia="宋体" w:cs="Times New Roman"/>
      <w:szCs w:val="24"/>
    </w:rPr>
  </w:style>
  <w:style w:type="character" w:customStyle="1" w:styleId="27">
    <w:name w:val="正文文本缩进 3 Char"/>
    <w:basedOn w:val="13"/>
    <w:link w:val="11"/>
    <w:qFormat/>
    <w:uiPriority w:val="0"/>
    <w:rPr>
      <w:rFonts w:ascii="Times New Roman" w:hAnsi="Times New Roman" w:eastAsia="宋体" w:cs="Times New Roman"/>
      <w:sz w:val="16"/>
      <w:szCs w:val="16"/>
    </w:rPr>
  </w:style>
  <w:style w:type="character" w:customStyle="1" w:styleId="28">
    <w:name w:val="批注文字 Char"/>
    <w:basedOn w:val="13"/>
    <w:link w:val="3"/>
    <w:qFormat/>
    <w:uiPriority w:val="0"/>
    <w:rPr>
      <w:rFonts w:ascii="Times New Roman" w:hAnsi="Times New Roman" w:eastAsia="宋体" w:cs="Times New Roman"/>
      <w:szCs w:val="24"/>
    </w:rPr>
  </w:style>
  <w:style w:type="paragraph" w:customStyle="1" w:styleId="29">
    <w:name w:val="表格"/>
    <w:basedOn w:val="1"/>
    <w:link w:val="30"/>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0">
    <w:name w:val="表格 Char"/>
    <w:link w:val="29"/>
    <w:qFormat/>
    <w:uiPriority w:val="0"/>
    <w:rPr>
      <w:rFonts w:ascii="仿宋_GB2312" w:hAnsi="Times New Roman" w:eastAsia="宋体" w:cs="Times New Roman"/>
      <w:color w:val="000000"/>
      <w:kern w:val="0"/>
      <w:szCs w:val="24"/>
    </w:rPr>
  </w:style>
  <w:style w:type="paragraph" w:customStyle="1" w:styleId="31">
    <w:name w:val="列出段落1"/>
    <w:basedOn w:val="1"/>
    <w:qFormat/>
    <w:uiPriority w:val="34"/>
    <w:pPr>
      <w:ind w:firstLine="420" w:firstLineChars="200"/>
    </w:pPr>
    <w:rPr>
      <w:rFonts w:ascii="Times New Roman" w:hAnsi="Times New Roman" w:eastAsia="宋体" w:cs="Times New Roman"/>
      <w:szCs w:val="24"/>
    </w:rPr>
  </w:style>
  <w:style w:type="paragraph" w:customStyle="1" w:styleId="32">
    <w:name w:val="p0"/>
    <w:basedOn w:val="1"/>
    <w:qFormat/>
    <w:uiPriority w:val="0"/>
    <w:pPr>
      <w:widowControl/>
    </w:pPr>
    <w:rPr>
      <w:rFonts w:ascii="Times New Roman" w:hAnsi="Times New Roman" w:eastAsia="宋体" w:cs="Times New Roman"/>
      <w:kern w:val="0"/>
      <w:szCs w:val="21"/>
    </w:rPr>
  </w:style>
  <w:style w:type="character" w:customStyle="1" w:styleId="33">
    <w:name w:val="批注主题 Char"/>
    <w:basedOn w:val="28"/>
    <w:link w:val="2"/>
    <w:semiHidden/>
    <w:qFormat/>
    <w:uiPriority w:val="99"/>
    <w:rPr>
      <w:rFonts w:ascii="Times New Roman" w:hAnsi="Times New Roman" w:eastAsia="宋体" w:cs="Times New Roman"/>
      <w:b/>
      <w:bCs/>
      <w:szCs w:val="24"/>
    </w:rPr>
  </w:style>
  <w:style w:type="character" w:customStyle="1" w:styleId="34">
    <w:name w:val="日期 Char"/>
    <w:basedOn w:val="13"/>
    <w:link w:val="6"/>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3ED35B-07F0-4CE1-B748-6B180F05F3E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37</Pages>
  <Words>3785</Words>
  <Characters>21578</Characters>
  <Lines>179</Lines>
  <Paragraphs>50</Paragraphs>
  <ScaleCrop>false</ScaleCrop>
  <LinksUpToDate>false</LinksUpToDate>
  <CharactersWithSpaces>25313</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2019-10-22T06:31:00Z</dcterms:created>
  <dc:creator>Administrator</dc:creator>
  <cp:lastModifiedBy>常孟园</cp:lastModifiedBy>
  <cp:lastPrinted>2019-09-10T00:21:00Z</cp:lastPrinted>
  <dcterms:modified xsi:type="dcterms:W3CDTF">2019-10-21T10:25:25Z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