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640" w:lineRule="exact"/>
        <w:ind w:left="27"/>
        <w:jc w:val="center"/>
        <w:rPr>
          <w:rFonts w:ascii="华文中宋" w:hAnsi="华文中宋" w:eastAsia="华文中宋" w:cs="华文中宋"/>
          <w:b/>
          <w:color w:val="auto"/>
          <w:kern w:val="0"/>
          <w:sz w:val="44"/>
          <w:szCs w:val="44"/>
        </w:rPr>
      </w:pPr>
      <w:r>
        <w:rPr>
          <w:rFonts w:hint="eastAsia" w:ascii="华文中宋" w:hAnsi="华文中宋" w:eastAsia="华文中宋" w:cs="华文中宋"/>
          <w:b/>
          <w:color w:val="auto"/>
          <w:kern w:val="0"/>
          <w:sz w:val="44"/>
          <w:szCs w:val="44"/>
        </w:rPr>
        <w:t>深圳市市场监督管理局</w:t>
      </w:r>
    </w:p>
    <w:p>
      <w:pPr>
        <w:widowControl/>
        <w:adjustRightInd w:val="0"/>
        <w:snapToGrid w:val="0"/>
        <w:spacing w:line="640" w:lineRule="exact"/>
        <w:ind w:left="27"/>
        <w:jc w:val="center"/>
        <w:rPr>
          <w:rFonts w:ascii="华文中宋" w:hAnsi="华文中宋" w:eastAsia="华文中宋" w:cs="华文中宋"/>
          <w:b/>
          <w:color w:val="auto"/>
          <w:kern w:val="0"/>
          <w:sz w:val="44"/>
          <w:szCs w:val="44"/>
        </w:rPr>
      </w:pPr>
      <w:r>
        <w:rPr>
          <w:rFonts w:hint="eastAsia" w:ascii="华文中宋" w:hAnsi="华文中宋" w:eastAsia="华文中宋" w:cs="华文中宋"/>
          <w:b/>
          <w:color w:val="auto"/>
          <w:kern w:val="0"/>
          <w:sz w:val="44"/>
          <w:szCs w:val="44"/>
        </w:rPr>
        <w:t>水泥产品质量监督抽查实施规范</w:t>
      </w:r>
    </w:p>
    <w:p>
      <w:pPr>
        <w:snapToGrid w:val="0"/>
        <w:spacing w:line="360" w:lineRule="auto"/>
        <w:jc w:val="center"/>
        <w:rPr>
          <w:rFonts w:ascii="仿宋_GB2312" w:hAnsi="宋体" w:eastAsia="仿宋_GB2312" w:cs="Times New Roman"/>
          <w:b w:val="0"/>
          <w:bCs/>
          <w:color w:val="auto"/>
          <w:sz w:val="28"/>
          <w:szCs w:val="28"/>
        </w:rPr>
      </w:pPr>
      <w:r>
        <w:rPr>
          <w:rFonts w:hint="eastAsia" w:ascii="仿宋_GB2312" w:hAnsi="宋体" w:eastAsia="仿宋_GB2312" w:cs="Times New Roman"/>
          <w:b w:val="0"/>
          <w:bCs/>
          <w:color w:val="auto"/>
          <w:sz w:val="28"/>
          <w:szCs w:val="28"/>
        </w:rPr>
        <w:t>（编号：</w:t>
      </w:r>
      <w:r>
        <w:rPr>
          <w:rFonts w:ascii="仿宋_GB2312" w:hAnsi="宋体" w:eastAsia="仿宋_GB2312" w:cs="Times New Roman"/>
          <w:b w:val="0"/>
          <w:bCs/>
          <w:color w:val="auto"/>
          <w:sz w:val="28"/>
          <w:szCs w:val="28"/>
        </w:rPr>
        <w:t>CCGF-SZ-</w:t>
      </w:r>
      <w:r>
        <w:rPr>
          <w:rFonts w:hint="eastAsia" w:ascii="仿宋_GB2312" w:hAnsi="宋体" w:eastAsia="仿宋_GB2312" w:cs="Times New Roman"/>
          <w:b w:val="0"/>
          <w:bCs/>
          <w:color w:val="auto"/>
          <w:sz w:val="28"/>
          <w:szCs w:val="28"/>
          <w:lang w:val="en-US" w:eastAsia="zh-CN"/>
        </w:rPr>
        <w:t>151</w:t>
      </w:r>
      <w:r>
        <w:rPr>
          <w:rFonts w:ascii="仿宋_GB2312" w:hAnsi="宋体" w:eastAsia="仿宋_GB2312" w:cs="Times New Roman"/>
          <w:b w:val="0"/>
          <w:bCs/>
          <w:color w:val="auto"/>
          <w:sz w:val="28"/>
          <w:szCs w:val="28"/>
        </w:rPr>
        <w:t>-201</w:t>
      </w:r>
      <w:r>
        <w:rPr>
          <w:rFonts w:hint="eastAsia" w:ascii="仿宋_GB2312" w:hAnsi="宋体" w:eastAsia="仿宋_GB2312" w:cs="Times New Roman"/>
          <w:b w:val="0"/>
          <w:bCs/>
          <w:color w:val="auto"/>
          <w:sz w:val="28"/>
          <w:szCs w:val="28"/>
        </w:rPr>
        <w:t>9）</w:t>
      </w:r>
    </w:p>
    <w:p>
      <w:pPr>
        <w:snapToGrid w:val="0"/>
        <w:spacing w:line="360" w:lineRule="auto"/>
        <w:jc w:val="left"/>
        <w:rPr>
          <w:rFonts w:ascii="仿宋_GB2312" w:hAnsi="宋体" w:eastAsia="仿宋_GB2312" w:cs="Times New Roman"/>
          <w:b/>
          <w:color w:val="auto"/>
          <w:sz w:val="28"/>
          <w:szCs w:val="28"/>
        </w:rPr>
      </w:pPr>
      <w:r>
        <w:rPr>
          <w:rFonts w:hint="eastAsia" w:ascii="仿宋_GB2312" w:hAnsi="宋体" w:eastAsia="仿宋_GB2312" w:cs="Times New Roman"/>
          <w:b/>
          <w:color w:val="auto"/>
          <w:sz w:val="28"/>
          <w:szCs w:val="28"/>
        </w:rPr>
        <w:t>1．适用范围</w:t>
      </w:r>
    </w:p>
    <w:p>
      <w:pPr>
        <w:snapToGrid w:val="0"/>
        <w:spacing w:line="360" w:lineRule="auto"/>
        <w:ind w:firstLine="537" w:firstLineChars="192"/>
        <w:jc w:val="left"/>
        <w:rPr>
          <w:rFonts w:ascii="仿宋_GB2312" w:hAnsi="宋体" w:eastAsia="仿宋_GB2312" w:cs="Times New Roman"/>
          <w:color w:val="auto"/>
          <w:sz w:val="28"/>
          <w:szCs w:val="28"/>
        </w:rPr>
      </w:pPr>
      <w:r>
        <w:rPr>
          <w:rFonts w:hint="eastAsia" w:ascii="仿宋_GB2312" w:hAnsi="宋体" w:eastAsia="仿宋_GB2312" w:cs="Times New Roman"/>
          <w:color w:val="auto"/>
          <w:sz w:val="28"/>
          <w:szCs w:val="28"/>
        </w:rPr>
        <w:t>本细则适用于对深圳市生产及流通领域水泥产品质量监督抽查。监督抽查产品范围适用于：通用硅酸盐水泥（硅酸盐水泥、普通硅酸盐水泥、矿渣硅酸盐水泥、粉煤灰硅酸盐水泥、火山灰质硅酸盐水泥、复合硅酸盐水泥等）和特种水泥（白色硅酸盐水泥）等。</w:t>
      </w:r>
    </w:p>
    <w:p>
      <w:pPr>
        <w:snapToGrid w:val="0"/>
        <w:spacing w:line="360" w:lineRule="auto"/>
        <w:ind w:firstLine="537" w:firstLineChars="192"/>
        <w:jc w:val="left"/>
        <w:rPr>
          <w:rFonts w:ascii="仿宋_GB2312" w:hAnsi="宋体" w:eastAsia="仿宋_GB2312" w:cs="Times New Roman"/>
          <w:color w:val="auto"/>
          <w:sz w:val="28"/>
          <w:szCs w:val="28"/>
        </w:rPr>
      </w:pPr>
      <w:r>
        <w:rPr>
          <w:rFonts w:hint="eastAsia" w:ascii="仿宋_GB2312" w:hAnsi="宋体" w:eastAsia="仿宋_GB2312" w:cs="Times New Roman"/>
          <w:color w:val="auto"/>
          <w:sz w:val="28"/>
          <w:szCs w:val="28"/>
        </w:rPr>
        <w:t>本细则包括适用范围、产品分类、术语和定义、检验依据、抽样、检验要求、判定原则、异议处理复检。</w:t>
      </w:r>
    </w:p>
    <w:p>
      <w:pPr>
        <w:snapToGrid w:val="0"/>
        <w:spacing w:line="360" w:lineRule="auto"/>
        <w:jc w:val="left"/>
        <w:rPr>
          <w:rFonts w:ascii="仿宋_GB2312" w:hAnsi="宋体" w:eastAsia="仿宋_GB2312" w:cs="Times New Roman"/>
          <w:b/>
          <w:color w:val="auto"/>
          <w:sz w:val="28"/>
          <w:szCs w:val="28"/>
        </w:rPr>
      </w:pPr>
      <w:r>
        <w:rPr>
          <w:rFonts w:hint="eastAsia" w:ascii="仿宋_GB2312" w:hAnsi="宋体" w:eastAsia="仿宋_GB2312" w:cs="Times New Roman"/>
          <w:b/>
          <w:color w:val="auto"/>
          <w:sz w:val="28"/>
          <w:szCs w:val="28"/>
        </w:rPr>
        <w:t>2.产品分类</w:t>
      </w:r>
    </w:p>
    <w:p>
      <w:pPr>
        <w:snapToGrid w:val="0"/>
        <w:spacing w:line="360" w:lineRule="auto"/>
        <w:jc w:val="left"/>
        <w:rPr>
          <w:rFonts w:ascii="仿宋_GB2312" w:hAnsi="宋体" w:eastAsia="仿宋_GB2312" w:cs="Times New Roman"/>
          <w:b/>
          <w:color w:val="auto"/>
          <w:sz w:val="28"/>
          <w:szCs w:val="28"/>
        </w:rPr>
      </w:pPr>
      <w:r>
        <w:rPr>
          <w:rFonts w:hint="eastAsia" w:ascii="仿宋_GB2312" w:hAnsi="宋体" w:eastAsia="仿宋_GB2312" w:cs="Times New Roman"/>
          <w:b/>
          <w:color w:val="auto"/>
          <w:sz w:val="28"/>
          <w:szCs w:val="28"/>
        </w:rPr>
        <w:t>2.1产品分类及代码</w:t>
      </w:r>
    </w:p>
    <w:p>
      <w:pPr>
        <w:snapToGrid w:val="0"/>
        <w:spacing w:line="460" w:lineRule="exact"/>
        <w:ind w:left="420" w:leftChars="200"/>
        <w:rPr>
          <w:rFonts w:ascii="宋体" w:hAnsi="宋体"/>
          <w:color w:val="auto"/>
          <w:szCs w:val="21"/>
        </w:rPr>
      </w:pPr>
      <w:r>
        <w:rPr>
          <w:rFonts w:hint="eastAsia" w:ascii="仿宋_GB2312" w:hAnsi="宋体" w:eastAsia="仿宋_GB2312" w:cs="Times New Roman"/>
          <w:color w:val="auto"/>
          <w:sz w:val="28"/>
          <w:szCs w:val="28"/>
        </w:rPr>
        <w:t>产品分类及代码见表1。</w:t>
      </w:r>
    </w:p>
    <w:p>
      <w:pPr>
        <w:snapToGrid w:val="0"/>
        <w:spacing w:line="460" w:lineRule="exact"/>
        <w:ind w:left="420" w:leftChars="200"/>
        <w:jc w:val="center"/>
        <w:rPr>
          <w:rFonts w:ascii="仿宋_GB2312" w:hAnsi="宋体" w:eastAsia="仿宋_GB2312" w:cs="Times New Roman"/>
          <w:color w:val="auto"/>
          <w:sz w:val="28"/>
          <w:szCs w:val="28"/>
        </w:rPr>
      </w:pPr>
      <w:r>
        <w:rPr>
          <w:rFonts w:hint="eastAsia" w:ascii="仿宋_GB2312" w:hAnsi="宋体" w:eastAsia="仿宋_GB2312" w:cs="Times New Roman"/>
          <w:color w:val="auto"/>
          <w:sz w:val="28"/>
          <w:szCs w:val="28"/>
        </w:rPr>
        <w:t>表</w:t>
      </w:r>
      <w:r>
        <w:rPr>
          <w:rFonts w:ascii="仿宋_GB2312" w:hAnsi="宋体" w:eastAsia="仿宋_GB2312" w:cs="Times New Roman"/>
          <w:color w:val="auto"/>
          <w:sz w:val="28"/>
          <w:szCs w:val="28"/>
        </w:rPr>
        <w:t>1</w:t>
      </w:r>
      <w:r>
        <w:rPr>
          <w:rFonts w:hint="eastAsia" w:ascii="仿宋_GB2312" w:hAnsi="宋体" w:eastAsia="仿宋_GB2312" w:cs="Times New Roman"/>
          <w:color w:val="auto"/>
          <w:sz w:val="28"/>
          <w:szCs w:val="28"/>
        </w:rPr>
        <w:t xml:space="preserve"> 产品分类及代码</w:t>
      </w:r>
    </w:p>
    <w:tbl>
      <w:tblPr>
        <w:tblStyle w:val="5"/>
        <w:tblW w:w="89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2235"/>
        <w:gridCol w:w="2236"/>
        <w:gridCol w:w="2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35" w:type="dxa"/>
          </w:tcPr>
          <w:p>
            <w:pPr>
              <w:autoSpaceDE w:val="0"/>
              <w:autoSpaceDN w:val="0"/>
              <w:adjustRightInd w:val="0"/>
              <w:spacing w:line="300" w:lineRule="exact"/>
              <w:jc w:val="center"/>
              <w:rPr>
                <w:rFonts w:ascii="仿宋_GB2312" w:hAnsi="宋体" w:eastAsia="仿宋_GB2312" w:cs="Times New Roman"/>
                <w:color w:val="auto"/>
                <w:szCs w:val="21"/>
              </w:rPr>
            </w:pPr>
            <w:r>
              <w:rPr>
                <w:rFonts w:hint="eastAsia" w:ascii="仿宋_GB2312" w:hAnsi="宋体" w:eastAsia="仿宋_GB2312" w:cs="Times New Roman"/>
                <w:color w:val="auto"/>
                <w:szCs w:val="21"/>
              </w:rPr>
              <w:t>产品分类</w:t>
            </w:r>
          </w:p>
        </w:tc>
        <w:tc>
          <w:tcPr>
            <w:tcW w:w="2235" w:type="dxa"/>
          </w:tcPr>
          <w:p>
            <w:pPr>
              <w:autoSpaceDE w:val="0"/>
              <w:autoSpaceDN w:val="0"/>
              <w:adjustRightInd w:val="0"/>
              <w:spacing w:line="300" w:lineRule="exact"/>
              <w:jc w:val="center"/>
              <w:rPr>
                <w:rFonts w:ascii="仿宋_GB2312" w:hAnsi="宋体" w:eastAsia="仿宋_GB2312" w:cs="Times New Roman"/>
                <w:color w:val="auto"/>
                <w:szCs w:val="21"/>
              </w:rPr>
            </w:pPr>
            <w:r>
              <w:rPr>
                <w:rFonts w:hint="eastAsia" w:ascii="仿宋_GB2312" w:hAnsi="宋体" w:eastAsia="仿宋_GB2312" w:cs="Times New Roman"/>
                <w:color w:val="auto"/>
                <w:szCs w:val="21"/>
              </w:rPr>
              <w:t>一级分类</w:t>
            </w:r>
          </w:p>
        </w:tc>
        <w:tc>
          <w:tcPr>
            <w:tcW w:w="2236" w:type="dxa"/>
          </w:tcPr>
          <w:p>
            <w:pPr>
              <w:autoSpaceDE w:val="0"/>
              <w:autoSpaceDN w:val="0"/>
              <w:adjustRightInd w:val="0"/>
              <w:spacing w:line="300" w:lineRule="exact"/>
              <w:jc w:val="center"/>
              <w:rPr>
                <w:rFonts w:ascii="仿宋_GB2312" w:hAnsi="宋体" w:eastAsia="仿宋_GB2312" w:cs="Times New Roman"/>
                <w:color w:val="auto"/>
                <w:szCs w:val="21"/>
              </w:rPr>
            </w:pPr>
            <w:r>
              <w:rPr>
                <w:rFonts w:hint="eastAsia" w:ascii="仿宋_GB2312" w:hAnsi="宋体" w:eastAsia="仿宋_GB2312" w:cs="Times New Roman"/>
                <w:color w:val="auto"/>
                <w:szCs w:val="21"/>
              </w:rPr>
              <w:t>二级分类</w:t>
            </w:r>
          </w:p>
        </w:tc>
        <w:tc>
          <w:tcPr>
            <w:tcW w:w="2236" w:type="dxa"/>
          </w:tcPr>
          <w:p>
            <w:pPr>
              <w:autoSpaceDE w:val="0"/>
              <w:autoSpaceDN w:val="0"/>
              <w:adjustRightInd w:val="0"/>
              <w:spacing w:line="300" w:lineRule="exact"/>
              <w:jc w:val="center"/>
              <w:rPr>
                <w:rFonts w:ascii="仿宋_GB2312" w:hAnsi="宋体" w:eastAsia="仿宋_GB2312" w:cs="Times New Roman"/>
                <w:color w:val="auto"/>
                <w:szCs w:val="21"/>
              </w:rPr>
            </w:pPr>
            <w:r>
              <w:rPr>
                <w:rFonts w:hint="eastAsia" w:ascii="仿宋_GB2312" w:hAnsi="宋体" w:eastAsia="仿宋_GB2312" w:cs="Times New Roman"/>
                <w:color w:val="auto"/>
                <w:szCs w:val="21"/>
              </w:rPr>
              <w:t>三级分类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35" w:type="dxa"/>
          </w:tcPr>
          <w:p>
            <w:pPr>
              <w:autoSpaceDE w:val="0"/>
              <w:autoSpaceDN w:val="0"/>
              <w:adjustRightInd w:val="0"/>
              <w:spacing w:line="300" w:lineRule="exact"/>
              <w:jc w:val="center"/>
              <w:rPr>
                <w:rFonts w:ascii="仿宋_GB2312" w:hAnsi="宋体" w:eastAsia="仿宋_GB2312" w:cs="Times New Roman"/>
                <w:color w:val="auto"/>
                <w:szCs w:val="21"/>
              </w:rPr>
            </w:pPr>
            <w:r>
              <w:rPr>
                <w:rFonts w:hint="eastAsia" w:ascii="仿宋_GB2312" w:hAnsi="宋体" w:eastAsia="仿宋_GB2312" w:cs="Times New Roman"/>
                <w:color w:val="auto"/>
                <w:szCs w:val="21"/>
              </w:rPr>
              <w:t>分类代码</w:t>
            </w:r>
          </w:p>
        </w:tc>
        <w:tc>
          <w:tcPr>
            <w:tcW w:w="2235" w:type="dxa"/>
          </w:tcPr>
          <w:p>
            <w:pPr>
              <w:autoSpaceDE w:val="0"/>
              <w:autoSpaceDN w:val="0"/>
              <w:adjustRightInd w:val="0"/>
              <w:spacing w:line="300" w:lineRule="exact"/>
              <w:jc w:val="center"/>
              <w:rPr>
                <w:rFonts w:ascii="仿宋_GB2312" w:hAnsi="宋体" w:eastAsia="仿宋_GB2312" w:cs="Times New Roman"/>
                <w:color w:val="auto"/>
                <w:szCs w:val="21"/>
              </w:rPr>
            </w:pPr>
            <w:r>
              <w:rPr>
                <w:rFonts w:hint="eastAsia" w:ascii="仿宋_GB2312" w:hAnsi="宋体" w:eastAsia="仿宋_GB2312" w:cs="Times New Roman"/>
                <w:color w:val="auto"/>
                <w:szCs w:val="21"/>
              </w:rPr>
              <w:t>4</w:t>
            </w:r>
          </w:p>
        </w:tc>
        <w:tc>
          <w:tcPr>
            <w:tcW w:w="2236" w:type="dxa"/>
          </w:tcPr>
          <w:p>
            <w:pPr>
              <w:autoSpaceDE w:val="0"/>
              <w:autoSpaceDN w:val="0"/>
              <w:adjustRightInd w:val="0"/>
              <w:spacing w:line="300" w:lineRule="exact"/>
              <w:jc w:val="center"/>
              <w:rPr>
                <w:rFonts w:ascii="仿宋_GB2312" w:hAnsi="宋体" w:eastAsia="仿宋_GB2312" w:cs="Times New Roman"/>
                <w:color w:val="auto"/>
                <w:szCs w:val="21"/>
              </w:rPr>
            </w:pPr>
            <w:r>
              <w:rPr>
                <w:rFonts w:hint="eastAsia" w:ascii="仿宋_GB2312" w:hAnsi="宋体" w:eastAsia="仿宋_GB2312" w:cs="Times New Roman"/>
                <w:color w:val="auto"/>
                <w:szCs w:val="21"/>
              </w:rPr>
              <w:t>404</w:t>
            </w:r>
          </w:p>
        </w:tc>
        <w:tc>
          <w:tcPr>
            <w:tcW w:w="2236" w:type="dxa"/>
          </w:tcPr>
          <w:p>
            <w:pPr>
              <w:autoSpaceDE w:val="0"/>
              <w:autoSpaceDN w:val="0"/>
              <w:adjustRightInd w:val="0"/>
              <w:spacing w:line="300" w:lineRule="exact"/>
              <w:jc w:val="center"/>
              <w:rPr>
                <w:rFonts w:ascii="仿宋_GB2312" w:hAnsi="宋体" w:eastAsia="仿宋_GB2312" w:cs="Times New Roman"/>
                <w:color w:val="auto"/>
                <w:szCs w:val="21"/>
              </w:rPr>
            </w:pPr>
            <w:r>
              <w:rPr>
                <w:rFonts w:hint="eastAsia" w:ascii="仿宋_GB2312" w:hAnsi="宋体" w:eastAsia="仿宋_GB2312" w:cs="Times New Roman"/>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35" w:type="dxa"/>
          </w:tcPr>
          <w:p>
            <w:pPr>
              <w:autoSpaceDE w:val="0"/>
              <w:autoSpaceDN w:val="0"/>
              <w:adjustRightInd w:val="0"/>
              <w:spacing w:line="300" w:lineRule="exact"/>
              <w:jc w:val="center"/>
              <w:rPr>
                <w:rFonts w:ascii="仿宋_GB2312" w:hAnsi="宋体" w:eastAsia="仿宋_GB2312" w:cs="Times New Roman"/>
                <w:color w:val="auto"/>
                <w:szCs w:val="21"/>
              </w:rPr>
            </w:pPr>
            <w:r>
              <w:rPr>
                <w:rFonts w:hint="eastAsia" w:ascii="仿宋_GB2312" w:hAnsi="宋体" w:eastAsia="仿宋_GB2312" w:cs="Times New Roman"/>
                <w:color w:val="auto"/>
                <w:szCs w:val="21"/>
              </w:rPr>
              <w:t>分类名称</w:t>
            </w:r>
          </w:p>
        </w:tc>
        <w:tc>
          <w:tcPr>
            <w:tcW w:w="2235" w:type="dxa"/>
          </w:tcPr>
          <w:p>
            <w:pPr>
              <w:autoSpaceDE w:val="0"/>
              <w:autoSpaceDN w:val="0"/>
              <w:adjustRightInd w:val="0"/>
              <w:spacing w:line="300" w:lineRule="exact"/>
              <w:jc w:val="center"/>
              <w:rPr>
                <w:rFonts w:ascii="仿宋_GB2312" w:hAnsi="宋体" w:eastAsia="仿宋_GB2312" w:cs="Times New Roman"/>
                <w:color w:val="auto"/>
                <w:szCs w:val="21"/>
              </w:rPr>
            </w:pPr>
            <w:r>
              <w:rPr>
                <w:rFonts w:hint="eastAsia" w:ascii="仿宋_GB2312" w:hAnsi="宋体" w:eastAsia="仿宋_GB2312" w:cs="Times New Roman"/>
                <w:color w:val="auto"/>
                <w:szCs w:val="21"/>
              </w:rPr>
              <w:t>建筑和装饰装修材料</w:t>
            </w:r>
          </w:p>
        </w:tc>
        <w:tc>
          <w:tcPr>
            <w:tcW w:w="2236" w:type="dxa"/>
          </w:tcPr>
          <w:p>
            <w:pPr>
              <w:autoSpaceDE w:val="0"/>
              <w:autoSpaceDN w:val="0"/>
              <w:adjustRightInd w:val="0"/>
              <w:spacing w:line="300" w:lineRule="exact"/>
              <w:jc w:val="center"/>
              <w:rPr>
                <w:rFonts w:ascii="仿宋_GB2312" w:hAnsi="宋体" w:eastAsia="仿宋_GB2312" w:cs="Times New Roman"/>
                <w:color w:val="auto"/>
                <w:szCs w:val="21"/>
              </w:rPr>
            </w:pPr>
            <w:r>
              <w:rPr>
                <w:rFonts w:hint="eastAsia" w:ascii="仿宋_GB2312" w:hAnsi="宋体" w:eastAsia="仿宋_GB2312" w:cs="Times New Roman"/>
                <w:color w:val="auto"/>
                <w:szCs w:val="21"/>
              </w:rPr>
              <w:t>水泥</w:t>
            </w:r>
          </w:p>
        </w:tc>
        <w:tc>
          <w:tcPr>
            <w:tcW w:w="2236" w:type="dxa"/>
          </w:tcPr>
          <w:p>
            <w:pPr>
              <w:autoSpaceDE w:val="0"/>
              <w:autoSpaceDN w:val="0"/>
              <w:adjustRightInd w:val="0"/>
              <w:spacing w:line="300" w:lineRule="exact"/>
              <w:jc w:val="center"/>
              <w:rPr>
                <w:rFonts w:ascii="仿宋_GB2312" w:hAnsi="宋体" w:eastAsia="仿宋_GB2312" w:cs="Times New Roman"/>
                <w:color w:val="auto"/>
                <w:szCs w:val="21"/>
              </w:rPr>
            </w:pPr>
            <w:r>
              <w:rPr>
                <w:rFonts w:hint="eastAsia" w:ascii="仿宋_GB2312" w:hAnsi="宋体" w:eastAsia="仿宋_GB2312" w:cs="Times New Roman"/>
                <w:color w:val="auto"/>
                <w:szCs w:val="21"/>
              </w:rPr>
              <w:t>-</w:t>
            </w:r>
          </w:p>
        </w:tc>
      </w:tr>
    </w:tbl>
    <w:p>
      <w:pPr>
        <w:snapToGrid w:val="0"/>
        <w:spacing w:line="360" w:lineRule="auto"/>
        <w:jc w:val="left"/>
        <w:rPr>
          <w:rFonts w:ascii="仿宋_GB2312" w:hAnsi="宋体" w:eastAsia="仿宋_GB2312" w:cs="Times New Roman"/>
          <w:b/>
          <w:color w:val="auto"/>
          <w:sz w:val="28"/>
          <w:szCs w:val="28"/>
        </w:rPr>
      </w:pPr>
      <w:r>
        <w:rPr>
          <w:rFonts w:hint="eastAsia" w:ascii="仿宋_GB2312" w:hAnsi="宋体" w:eastAsia="仿宋_GB2312" w:cs="Times New Roman"/>
          <w:b/>
          <w:color w:val="auto"/>
          <w:sz w:val="28"/>
          <w:szCs w:val="28"/>
        </w:rPr>
        <w:t>2.2产品种类</w:t>
      </w:r>
    </w:p>
    <w:p>
      <w:pPr>
        <w:snapToGrid w:val="0"/>
        <w:spacing w:line="460" w:lineRule="exact"/>
        <w:ind w:left="420" w:leftChars="200"/>
        <w:rPr>
          <w:rFonts w:ascii="仿宋_GB2312" w:hAnsi="宋体" w:eastAsia="仿宋_GB2312" w:cs="Times New Roman"/>
          <w:color w:val="auto"/>
          <w:sz w:val="28"/>
          <w:szCs w:val="28"/>
        </w:rPr>
      </w:pPr>
      <w:r>
        <w:rPr>
          <w:rFonts w:hint="eastAsia" w:ascii="仿宋_GB2312" w:hAnsi="宋体" w:eastAsia="仿宋_GB2312" w:cs="Times New Roman"/>
          <w:color w:val="auto"/>
          <w:sz w:val="28"/>
          <w:szCs w:val="28"/>
        </w:rPr>
        <w:t>根据水泥产品标准，将产品分为以下种类，见表2.</w:t>
      </w:r>
      <w:r>
        <w:rPr>
          <w:rFonts w:ascii="仿宋_GB2312" w:hAnsi="宋体" w:eastAsia="仿宋_GB2312" w:cs="Times New Roman"/>
          <w:color w:val="auto"/>
          <w:sz w:val="28"/>
          <w:szCs w:val="28"/>
        </w:rPr>
        <w:tab/>
      </w:r>
    </w:p>
    <w:p>
      <w:pPr>
        <w:snapToGrid w:val="0"/>
        <w:spacing w:line="460" w:lineRule="exact"/>
        <w:ind w:left="420" w:leftChars="200"/>
        <w:jc w:val="center"/>
        <w:rPr>
          <w:rFonts w:ascii="仿宋_GB2312" w:hAnsi="宋体" w:eastAsia="仿宋_GB2312" w:cs="Times New Roman"/>
          <w:color w:val="auto"/>
          <w:sz w:val="28"/>
          <w:szCs w:val="28"/>
        </w:rPr>
      </w:pPr>
      <w:r>
        <w:rPr>
          <w:rFonts w:hint="eastAsia" w:ascii="仿宋_GB2312" w:hAnsi="宋体" w:eastAsia="仿宋_GB2312" w:cs="Times New Roman"/>
          <w:color w:val="auto"/>
          <w:sz w:val="28"/>
          <w:szCs w:val="28"/>
        </w:rPr>
        <w:t>表2 产品种类</w:t>
      </w:r>
    </w:p>
    <w:tbl>
      <w:tblPr>
        <w:tblStyle w:val="5"/>
        <w:tblW w:w="88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5"/>
        <w:gridCol w:w="1031"/>
        <w:gridCol w:w="3309"/>
        <w:gridCol w:w="3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15" w:type="dxa"/>
            <w:vAlign w:val="center"/>
          </w:tcPr>
          <w:p>
            <w:pPr>
              <w:autoSpaceDE w:val="0"/>
              <w:autoSpaceDN w:val="0"/>
              <w:adjustRightInd w:val="0"/>
              <w:spacing w:line="300" w:lineRule="exact"/>
              <w:jc w:val="center"/>
              <w:rPr>
                <w:rFonts w:ascii="仿宋_GB2312" w:hAnsi="宋体" w:eastAsia="仿宋_GB2312" w:cs="Times New Roman"/>
                <w:color w:val="auto"/>
                <w:szCs w:val="21"/>
              </w:rPr>
            </w:pPr>
            <w:r>
              <w:rPr>
                <w:rFonts w:hint="eastAsia" w:ascii="仿宋_GB2312" w:hAnsi="宋体" w:eastAsia="仿宋_GB2312" w:cs="Times New Roman"/>
                <w:color w:val="auto"/>
                <w:szCs w:val="21"/>
              </w:rPr>
              <w:t>单元</w:t>
            </w:r>
          </w:p>
        </w:tc>
        <w:tc>
          <w:tcPr>
            <w:tcW w:w="1031" w:type="dxa"/>
            <w:vAlign w:val="center"/>
          </w:tcPr>
          <w:p>
            <w:pPr>
              <w:autoSpaceDE w:val="0"/>
              <w:autoSpaceDN w:val="0"/>
              <w:adjustRightInd w:val="0"/>
              <w:spacing w:line="300" w:lineRule="exact"/>
              <w:jc w:val="center"/>
              <w:rPr>
                <w:rFonts w:ascii="仿宋_GB2312" w:hAnsi="宋体" w:eastAsia="仿宋_GB2312" w:cs="Times New Roman"/>
                <w:color w:val="auto"/>
                <w:szCs w:val="21"/>
              </w:rPr>
            </w:pPr>
            <w:r>
              <w:rPr>
                <w:rFonts w:hint="eastAsia" w:ascii="仿宋_GB2312" w:hAnsi="宋体" w:eastAsia="仿宋_GB2312" w:cs="Times New Roman"/>
                <w:color w:val="auto"/>
                <w:szCs w:val="21"/>
              </w:rPr>
              <w:t>序号</w:t>
            </w:r>
          </w:p>
        </w:tc>
        <w:tc>
          <w:tcPr>
            <w:tcW w:w="3309" w:type="dxa"/>
            <w:vAlign w:val="center"/>
          </w:tcPr>
          <w:p>
            <w:pPr>
              <w:autoSpaceDE w:val="0"/>
              <w:autoSpaceDN w:val="0"/>
              <w:adjustRightInd w:val="0"/>
              <w:spacing w:line="300" w:lineRule="exact"/>
              <w:jc w:val="center"/>
              <w:rPr>
                <w:rFonts w:ascii="仿宋_GB2312" w:hAnsi="宋体" w:eastAsia="仿宋_GB2312" w:cs="Times New Roman"/>
                <w:color w:val="auto"/>
                <w:szCs w:val="21"/>
              </w:rPr>
            </w:pPr>
            <w:r>
              <w:rPr>
                <w:rFonts w:hint="eastAsia" w:ascii="仿宋_GB2312" w:hAnsi="宋体" w:eastAsia="仿宋_GB2312" w:cs="Times New Roman"/>
                <w:color w:val="auto"/>
                <w:szCs w:val="21"/>
              </w:rPr>
              <w:t>产品种类名称</w:t>
            </w:r>
          </w:p>
        </w:tc>
        <w:tc>
          <w:tcPr>
            <w:tcW w:w="3205" w:type="dxa"/>
            <w:vAlign w:val="center"/>
          </w:tcPr>
          <w:p>
            <w:pPr>
              <w:autoSpaceDE w:val="0"/>
              <w:autoSpaceDN w:val="0"/>
              <w:adjustRightInd w:val="0"/>
              <w:spacing w:line="300" w:lineRule="exact"/>
              <w:jc w:val="center"/>
              <w:rPr>
                <w:rFonts w:ascii="仿宋_GB2312" w:hAnsi="宋体" w:eastAsia="仿宋_GB2312" w:cs="Times New Roman"/>
                <w:color w:val="auto"/>
                <w:szCs w:val="21"/>
              </w:rPr>
            </w:pPr>
            <w:r>
              <w:rPr>
                <w:rFonts w:hint="eastAsia" w:ascii="仿宋_GB2312" w:hAnsi="宋体" w:eastAsia="仿宋_GB2312" w:cs="Times New Roman"/>
                <w:color w:val="auto"/>
                <w:szCs w:val="21"/>
              </w:rPr>
              <w:t>产品标准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15" w:type="dxa"/>
            <w:vMerge w:val="restart"/>
            <w:vAlign w:val="center"/>
          </w:tcPr>
          <w:p>
            <w:pPr>
              <w:autoSpaceDE w:val="0"/>
              <w:autoSpaceDN w:val="0"/>
              <w:adjustRightInd w:val="0"/>
              <w:spacing w:line="300" w:lineRule="exact"/>
              <w:jc w:val="center"/>
              <w:rPr>
                <w:rFonts w:ascii="仿宋_GB2312" w:hAnsi="宋体" w:eastAsia="仿宋_GB2312" w:cs="Times New Roman"/>
                <w:color w:val="auto"/>
                <w:szCs w:val="21"/>
              </w:rPr>
            </w:pPr>
            <w:r>
              <w:rPr>
                <w:rFonts w:hint="eastAsia" w:ascii="仿宋_GB2312" w:hAnsi="宋体" w:eastAsia="仿宋_GB2312" w:cs="Times New Roman"/>
                <w:color w:val="auto"/>
                <w:szCs w:val="21"/>
              </w:rPr>
              <w:t>通用水泥</w:t>
            </w:r>
          </w:p>
        </w:tc>
        <w:tc>
          <w:tcPr>
            <w:tcW w:w="1031" w:type="dxa"/>
            <w:vAlign w:val="center"/>
          </w:tcPr>
          <w:p>
            <w:pPr>
              <w:autoSpaceDE w:val="0"/>
              <w:autoSpaceDN w:val="0"/>
              <w:adjustRightInd w:val="0"/>
              <w:spacing w:line="300" w:lineRule="exact"/>
              <w:jc w:val="center"/>
              <w:rPr>
                <w:rFonts w:ascii="仿宋_GB2312" w:hAnsi="宋体" w:eastAsia="仿宋_GB2312" w:cs="Times New Roman"/>
                <w:color w:val="auto"/>
                <w:szCs w:val="21"/>
              </w:rPr>
            </w:pPr>
            <w:r>
              <w:rPr>
                <w:rFonts w:hint="eastAsia" w:ascii="仿宋_GB2312" w:hAnsi="宋体" w:eastAsia="仿宋_GB2312" w:cs="Times New Roman"/>
                <w:color w:val="auto"/>
                <w:szCs w:val="21"/>
              </w:rPr>
              <w:t>1</w:t>
            </w:r>
          </w:p>
        </w:tc>
        <w:tc>
          <w:tcPr>
            <w:tcW w:w="3309" w:type="dxa"/>
            <w:vAlign w:val="center"/>
          </w:tcPr>
          <w:p>
            <w:pPr>
              <w:autoSpaceDE w:val="0"/>
              <w:autoSpaceDN w:val="0"/>
              <w:adjustRightInd w:val="0"/>
              <w:spacing w:line="300" w:lineRule="exact"/>
              <w:jc w:val="center"/>
              <w:rPr>
                <w:rFonts w:ascii="仿宋_GB2312" w:hAnsi="宋体" w:eastAsia="仿宋_GB2312" w:cs="Times New Roman"/>
                <w:color w:val="auto"/>
                <w:szCs w:val="21"/>
              </w:rPr>
            </w:pPr>
            <w:r>
              <w:rPr>
                <w:rFonts w:hint="eastAsia" w:ascii="仿宋_GB2312" w:hAnsi="宋体" w:eastAsia="仿宋_GB2312" w:cs="Times New Roman"/>
                <w:color w:val="auto"/>
                <w:szCs w:val="21"/>
              </w:rPr>
              <w:t>硅酸盐水泥</w:t>
            </w:r>
          </w:p>
        </w:tc>
        <w:tc>
          <w:tcPr>
            <w:tcW w:w="3205" w:type="dxa"/>
            <w:vMerge w:val="restart"/>
            <w:vAlign w:val="center"/>
          </w:tcPr>
          <w:p>
            <w:pPr>
              <w:autoSpaceDE w:val="0"/>
              <w:autoSpaceDN w:val="0"/>
              <w:adjustRightInd w:val="0"/>
              <w:spacing w:line="300" w:lineRule="exact"/>
              <w:jc w:val="center"/>
              <w:rPr>
                <w:rFonts w:ascii="仿宋_GB2312" w:hAnsi="宋体" w:eastAsia="仿宋_GB2312" w:cs="Times New Roman"/>
                <w:color w:val="auto"/>
                <w:szCs w:val="21"/>
              </w:rPr>
            </w:pPr>
            <w:r>
              <w:rPr>
                <w:rFonts w:hint="eastAsia" w:ascii="仿宋_GB2312" w:hAnsi="宋体" w:eastAsia="仿宋_GB2312" w:cs="Times New Roman"/>
                <w:color w:val="auto"/>
                <w:szCs w:val="21"/>
              </w:rPr>
              <w:t>GB175-2007</w:t>
            </w:r>
          </w:p>
          <w:p>
            <w:pPr>
              <w:autoSpaceDE w:val="0"/>
              <w:autoSpaceDN w:val="0"/>
              <w:adjustRightInd w:val="0"/>
              <w:spacing w:line="300" w:lineRule="exact"/>
              <w:jc w:val="center"/>
              <w:rPr>
                <w:rFonts w:ascii="仿宋_GB2312" w:hAnsi="宋体" w:eastAsia="仿宋_GB2312" w:cs="Times New Roman"/>
                <w:color w:val="auto"/>
                <w:szCs w:val="21"/>
              </w:rPr>
            </w:pPr>
            <w:r>
              <w:rPr>
                <w:rFonts w:hint="eastAsia" w:ascii="仿宋_GB2312" w:hAnsi="宋体" w:eastAsia="仿宋_GB2312" w:cs="Times New Roman"/>
                <w:color w:val="auto"/>
                <w:szCs w:val="21"/>
              </w:rPr>
              <w:t>GB31893-2015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15" w:type="dxa"/>
            <w:vMerge w:val="continue"/>
            <w:vAlign w:val="center"/>
          </w:tcPr>
          <w:p>
            <w:pPr>
              <w:autoSpaceDE w:val="0"/>
              <w:autoSpaceDN w:val="0"/>
              <w:adjustRightInd w:val="0"/>
              <w:spacing w:line="300" w:lineRule="exact"/>
              <w:jc w:val="center"/>
              <w:rPr>
                <w:rFonts w:ascii="仿宋_GB2312" w:hAnsi="宋体" w:eastAsia="仿宋_GB2312" w:cs="Times New Roman"/>
                <w:color w:val="auto"/>
                <w:szCs w:val="21"/>
              </w:rPr>
            </w:pPr>
          </w:p>
        </w:tc>
        <w:tc>
          <w:tcPr>
            <w:tcW w:w="1031" w:type="dxa"/>
            <w:vAlign w:val="center"/>
          </w:tcPr>
          <w:p>
            <w:pPr>
              <w:autoSpaceDE w:val="0"/>
              <w:autoSpaceDN w:val="0"/>
              <w:adjustRightInd w:val="0"/>
              <w:spacing w:line="300" w:lineRule="exact"/>
              <w:jc w:val="center"/>
              <w:rPr>
                <w:rFonts w:ascii="仿宋_GB2312" w:hAnsi="宋体" w:eastAsia="仿宋_GB2312" w:cs="Times New Roman"/>
                <w:color w:val="auto"/>
                <w:szCs w:val="21"/>
              </w:rPr>
            </w:pPr>
            <w:r>
              <w:rPr>
                <w:rFonts w:hint="eastAsia" w:ascii="仿宋_GB2312" w:hAnsi="宋体" w:eastAsia="仿宋_GB2312" w:cs="Times New Roman"/>
                <w:color w:val="auto"/>
                <w:szCs w:val="21"/>
              </w:rPr>
              <w:t>2</w:t>
            </w:r>
          </w:p>
        </w:tc>
        <w:tc>
          <w:tcPr>
            <w:tcW w:w="3309" w:type="dxa"/>
            <w:vAlign w:val="center"/>
          </w:tcPr>
          <w:p>
            <w:pPr>
              <w:autoSpaceDE w:val="0"/>
              <w:autoSpaceDN w:val="0"/>
              <w:adjustRightInd w:val="0"/>
              <w:spacing w:line="300" w:lineRule="exact"/>
              <w:jc w:val="center"/>
              <w:rPr>
                <w:rFonts w:ascii="仿宋_GB2312" w:hAnsi="宋体" w:eastAsia="仿宋_GB2312" w:cs="Times New Roman"/>
                <w:color w:val="auto"/>
                <w:szCs w:val="21"/>
              </w:rPr>
            </w:pPr>
            <w:r>
              <w:rPr>
                <w:rFonts w:hint="eastAsia" w:ascii="仿宋_GB2312" w:hAnsi="宋体" w:eastAsia="仿宋_GB2312" w:cs="Times New Roman"/>
                <w:color w:val="auto"/>
                <w:szCs w:val="21"/>
              </w:rPr>
              <w:t>普通硅酸盐水泥</w:t>
            </w:r>
          </w:p>
        </w:tc>
        <w:tc>
          <w:tcPr>
            <w:tcW w:w="3205" w:type="dxa"/>
            <w:vMerge w:val="continue"/>
            <w:vAlign w:val="center"/>
          </w:tcPr>
          <w:p>
            <w:pPr>
              <w:autoSpaceDE w:val="0"/>
              <w:autoSpaceDN w:val="0"/>
              <w:adjustRightInd w:val="0"/>
              <w:spacing w:line="300" w:lineRule="exact"/>
              <w:jc w:val="center"/>
              <w:rPr>
                <w:rFonts w:ascii="仿宋_GB2312" w:hAnsi="宋体" w:eastAsia="仿宋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15" w:type="dxa"/>
            <w:vMerge w:val="continue"/>
            <w:vAlign w:val="center"/>
          </w:tcPr>
          <w:p>
            <w:pPr>
              <w:autoSpaceDE w:val="0"/>
              <w:autoSpaceDN w:val="0"/>
              <w:adjustRightInd w:val="0"/>
              <w:spacing w:line="300" w:lineRule="exact"/>
              <w:jc w:val="center"/>
              <w:rPr>
                <w:rFonts w:ascii="仿宋_GB2312" w:hAnsi="宋体" w:eastAsia="仿宋_GB2312" w:cs="Times New Roman"/>
                <w:color w:val="auto"/>
                <w:szCs w:val="21"/>
              </w:rPr>
            </w:pPr>
          </w:p>
        </w:tc>
        <w:tc>
          <w:tcPr>
            <w:tcW w:w="1031" w:type="dxa"/>
            <w:vAlign w:val="center"/>
          </w:tcPr>
          <w:p>
            <w:pPr>
              <w:autoSpaceDE w:val="0"/>
              <w:autoSpaceDN w:val="0"/>
              <w:adjustRightInd w:val="0"/>
              <w:spacing w:line="300" w:lineRule="exact"/>
              <w:jc w:val="center"/>
              <w:rPr>
                <w:rFonts w:ascii="仿宋_GB2312" w:hAnsi="宋体" w:eastAsia="仿宋_GB2312" w:cs="Times New Roman"/>
                <w:color w:val="auto"/>
                <w:szCs w:val="21"/>
              </w:rPr>
            </w:pPr>
            <w:r>
              <w:rPr>
                <w:rFonts w:hint="eastAsia" w:ascii="仿宋_GB2312" w:hAnsi="宋体" w:eastAsia="仿宋_GB2312" w:cs="Times New Roman"/>
                <w:color w:val="auto"/>
                <w:szCs w:val="21"/>
              </w:rPr>
              <w:t>3</w:t>
            </w:r>
          </w:p>
        </w:tc>
        <w:tc>
          <w:tcPr>
            <w:tcW w:w="3309" w:type="dxa"/>
            <w:vAlign w:val="center"/>
          </w:tcPr>
          <w:p>
            <w:pPr>
              <w:autoSpaceDE w:val="0"/>
              <w:autoSpaceDN w:val="0"/>
              <w:adjustRightInd w:val="0"/>
              <w:spacing w:line="300" w:lineRule="exact"/>
              <w:jc w:val="center"/>
              <w:rPr>
                <w:rFonts w:ascii="仿宋_GB2312" w:hAnsi="宋体" w:eastAsia="仿宋_GB2312" w:cs="Times New Roman"/>
                <w:color w:val="auto"/>
                <w:szCs w:val="21"/>
              </w:rPr>
            </w:pPr>
            <w:r>
              <w:rPr>
                <w:rFonts w:hint="eastAsia" w:ascii="仿宋_GB2312" w:hAnsi="宋体" w:eastAsia="仿宋_GB2312" w:cs="Times New Roman"/>
                <w:color w:val="auto"/>
                <w:szCs w:val="21"/>
              </w:rPr>
              <w:t>矿渣硅酸盐水泥</w:t>
            </w:r>
          </w:p>
        </w:tc>
        <w:tc>
          <w:tcPr>
            <w:tcW w:w="3205" w:type="dxa"/>
            <w:vMerge w:val="continue"/>
            <w:vAlign w:val="center"/>
          </w:tcPr>
          <w:p>
            <w:pPr>
              <w:autoSpaceDE w:val="0"/>
              <w:autoSpaceDN w:val="0"/>
              <w:adjustRightInd w:val="0"/>
              <w:spacing w:line="300" w:lineRule="exact"/>
              <w:jc w:val="center"/>
              <w:rPr>
                <w:rFonts w:ascii="仿宋_GB2312" w:hAnsi="宋体" w:eastAsia="仿宋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15" w:type="dxa"/>
            <w:vMerge w:val="continue"/>
            <w:vAlign w:val="center"/>
          </w:tcPr>
          <w:p>
            <w:pPr>
              <w:autoSpaceDE w:val="0"/>
              <w:autoSpaceDN w:val="0"/>
              <w:adjustRightInd w:val="0"/>
              <w:spacing w:line="300" w:lineRule="exact"/>
              <w:jc w:val="center"/>
              <w:rPr>
                <w:rFonts w:ascii="仿宋_GB2312" w:hAnsi="宋体" w:eastAsia="仿宋_GB2312" w:cs="Times New Roman"/>
                <w:color w:val="auto"/>
                <w:szCs w:val="21"/>
              </w:rPr>
            </w:pPr>
          </w:p>
        </w:tc>
        <w:tc>
          <w:tcPr>
            <w:tcW w:w="1031" w:type="dxa"/>
            <w:vAlign w:val="center"/>
          </w:tcPr>
          <w:p>
            <w:pPr>
              <w:autoSpaceDE w:val="0"/>
              <w:autoSpaceDN w:val="0"/>
              <w:adjustRightInd w:val="0"/>
              <w:spacing w:line="300" w:lineRule="exact"/>
              <w:jc w:val="center"/>
              <w:rPr>
                <w:rFonts w:ascii="仿宋_GB2312" w:hAnsi="宋体" w:eastAsia="仿宋_GB2312" w:cs="Times New Roman"/>
                <w:color w:val="auto"/>
                <w:szCs w:val="21"/>
              </w:rPr>
            </w:pPr>
            <w:r>
              <w:rPr>
                <w:rFonts w:hint="eastAsia" w:ascii="仿宋_GB2312" w:hAnsi="宋体" w:eastAsia="仿宋_GB2312" w:cs="Times New Roman"/>
                <w:color w:val="auto"/>
                <w:szCs w:val="21"/>
              </w:rPr>
              <w:t>4</w:t>
            </w:r>
          </w:p>
        </w:tc>
        <w:tc>
          <w:tcPr>
            <w:tcW w:w="3309" w:type="dxa"/>
            <w:vAlign w:val="center"/>
          </w:tcPr>
          <w:p>
            <w:pPr>
              <w:autoSpaceDE w:val="0"/>
              <w:autoSpaceDN w:val="0"/>
              <w:adjustRightInd w:val="0"/>
              <w:spacing w:line="300" w:lineRule="exact"/>
              <w:jc w:val="center"/>
              <w:rPr>
                <w:rFonts w:ascii="仿宋_GB2312" w:hAnsi="宋体" w:eastAsia="仿宋_GB2312" w:cs="Times New Roman"/>
                <w:color w:val="auto"/>
                <w:szCs w:val="21"/>
              </w:rPr>
            </w:pPr>
            <w:r>
              <w:rPr>
                <w:rFonts w:hint="eastAsia" w:ascii="仿宋_GB2312" w:hAnsi="宋体" w:eastAsia="仿宋_GB2312" w:cs="Times New Roman"/>
                <w:color w:val="auto"/>
                <w:szCs w:val="21"/>
              </w:rPr>
              <w:t>粉煤灰硅酸盐水泥</w:t>
            </w:r>
          </w:p>
        </w:tc>
        <w:tc>
          <w:tcPr>
            <w:tcW w:w="3205" w:type="dxa"/>
            <w:vMerge w:val="continue"/>
            <w:vAlign w:val="center"/>
          </w:tcPr>
          <w:p>
            <w:pPr>
              <w:autoSpaceDE w:val="0"/>
              <w:autoSpaceDN w:val="0"/>
              <w:adjustRightInd w:val="0"/>
              <w:spacing w:line="300" w:lineRule="exact"/>
              <w:jc w:val="center"/>
              <w:rPr>
                <w:rFonts w:ascii="仿宋_GB2312" w:hAnsi="宋体" w:eastAsia="仿宋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15" w:type="dxa"/>
            <w:vMerge w:val="continue"/>
            <w:vAlign w:val="center"/>
          </w:tcPr>
          <w:p>
            <w:pPr>
              <w:autoSpaceDE w:val="0"/>
              <w:autoSpaceDN w:val="0"/>
              <w:adjustRightInd w:val="0"/>
              <w:spacing w:line="300" w:lineRule="exact"/>
              <w:jc w:val="center"/>
              <w:rPr>
                <w:rFonts w:ascii="仿宋_GB2312" w:hAnsi="宋体" w:eastAsia="仿宋_GB2312" w:cs="Times New Roman"/>
                <w:color w:val="auto"/>
                <w:szCs w:val="21"/>
              </w:rPr>
            </w:pPr>
          </w:p>
        </w:tc>
        <w:tc>
          <w:tcPr>
            <w:tcW w:w="1031" w:type="dxa"/>
            <w:vAlign w:val="center"/>
          </w:tcPr>
          <w:p>
            <w:pPr>
              <w:autoSpaceDE w:val="0"/>
              <w:autoSpaceDN w:val="0"/>
              <w:adjustRightInd w:val="0"/>
              <w:spacing w:line="300" w:lineRule="exact"/>
              <w:jc w:val="center"/>
              <w:rPr>
                <w:rFonts w:ascii="仿宋_GB2312" w:hAnsi="宋体" w:eastAsia="仿宋_GB2312" w:cs="Times New Roman"/>
                <w:color w:val="auto"/>
                <w:szCs w:val="21"/>
              </w:rPr>
            </w:pPr>
            <w:r>
              <w:rPr>
                <w:rFonts w:hint="eastAsia" w:ascii="仿宋_GB2312" w:hAnsi="宋体" w:eastAsia="仿宋_GB2312" w:cs="Times New Roman"/>
                <w:color w:val="auto"/>
                <w:szCs w:val="21"/>
              </w:rPr>
              <w:t>5</w:t>
            </w:r>
          </w:p>
        </w:tc>
        <w:tc>
          <w:tcPr>
            <w:tcW w:w="3309" w:type="dxa"/>
            <w:vAlign w:val="center"/>
          </w:tcPr>
          <w:p>
            <w:pPr>
              <w:autoSpaceDE w:val="0"/>
              <w:autoSpaceDN w:val="0"/>
              <w:adjustRightInd w:val="0"/>
              <w:spacing w:line="300" w:lineRule="exact"/>
              <w:jc w:val="center"/>
              <w:rPr>
                <w:rFonts w:ascii="仿宋_GB2312" w:hAnsi="宋体" w:eastAsia="仿宋_GB2312" w:cs="Times New Roman"/>
                <w:color w:val="auto"/>
                <w:szCs w:val="21"/>
              </w:rPr>
            </w:pPr>
            <w:r>
              <w:rPr>
                <w:rFonts w:hint="eastAsia" w:ascii="仿宋_GB2312" w:hAnsi="宋体" w:eastAsia="仿宋_GB2312" w:cs="Times New Roman"/>
                <w:color w:val="auto"/>
                <w:szCs w:val="21"/>
              </w:rPr>
              <w:t>火山灰质硅酸盐水泥</w:t>
            </w:r>
          </w:p>
        </w:tc>
        <w:tc>
          <w:tcPr>
            <w:tcW w:w="3205" w:type="dxa"/>
            <w:vMerge w:val="continue"/>
            <w:vAlign w:val="center"/>
          </w:tcPr>
          <w:p>
            <w:pPr>
              <w:autoSpaceDE w:val="0"/>
              <w:autoSpaceDN w:val="0"/>
              <w:adjustRightInd w:val="0"/>
              <w:spacing w:line="300" w:lineRule="exact"/>
              <w:jc w:val="center"/>
              <w:rPr>
                <w:rFonts w:ascii="仿宋_GB2312" w:hAnsi="宋体" w:eastAsia="仿宋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15" w:type="dxa"/>
            <w:vMerge w:val="continue"/>
            <w:vAlign w:val="center"/>
          </w:tcPr>
          <w:p>
            <w:pPr>
              <w:autoSpaceDE w:val="0"/>
              <w:autoSpaceDN w:val="0"/>
              <w:adjustRightInd w:val="0"/>
              <w:spacing w:line="300" w:lineRule="exact"/>
              <w:jc w:val="center"/>
              <w:rPr>
                <w:rFonts w:ascii="仿宋_GB2312" w:hAnsi="宋体" w:eastAsia="仿宋_GB2312" w:cs="Times New Roman"/>
                <w:color w:val="auto"/>
                <w:szCs w:val="21"/>
              </w:rPr>
            </w:pPr>
          </w:p>
        </w:tc>
        <w:tc>
          <w:tcPr>
            <w:tcW w:w="1031" w:type="dxa"/>
            <w:vAlign w:val="center"/>
          </w:tcPr>
          <w:p>
            <w:pPr>
              <w:autoSpaceDE w:val="0"/>
              <w:autoSpaceDN w:val="0"/>
              <w:adjustRightInd w:val="0"/>
              <w:spacing w:line="300" w:lineRule="exact"/>
              <w:jc w:val="center"/>
              <w:rPr>
                <w:rFonts w:ascii="仿宋_GB2312" w:hAnsi="宋体" w:eastAsia="仿宋_GB2312" w:cs="Times New Roman"/>
                <w:color w:val="auto"/>
                <w:szCs w:val="21"/>
              </w:rPr>
            </w:pPr>
            <w:r>
              <w:rPr>
                <w:rFonts w:hint="eastAsia" w:ascii="仿宋_GB2312" w:hAnsi="宋体" w:eastAsia="仿宋_GB2312" w:cs="Times New Roman"/>
                <w:color w:val="auto"/>
                <w:szCs w:val="21"/>
              </w:rPr>
              <w:t>6</w:t>
            </w:r>
          </w:p>
        </w:tc>
        <w:tc>
          <w:tcPr>
            <w:tcW w:w="3309" w:type="dxa"/>
            <w:vAlign w:val="center"/>
          </w:tcPr>
          <w:p>
            <w:pPr>
              <w:autoSpaceDE w:val="0"/>
              <w:autoSpaceDN w:val="0"/>
              <w:adjustRightInd w:val="0"/>
              <w:spacing w:line="300" w:lineRule="exact"/>
              <w:jc w:val="center"/>
              <w:rPr>
                <w:rFonts w:ascii="仿宋_GB2312" w:hAnsi="宋体" w:eastAsia="仿宋_GB2312" w:cs="Times New Roman"/>
                <w:color w:val="auto"/>
                <w:szCs w:val="21"/>
              </w:rPr>
            </w:pPr>
            <w:r>
              <w:rPr>
                <w:rFonts w:hint="eastAsia" w:ascii="仿宋_GB2312" w:hAnsi="宋体" w:eastAsia="仿宋_GB2312" w:cs="Times New Roman"/>
                <w:color w:val="auto"/>
                <w:szCs w:val="21"/>
              </w:rPr>
              <w:t>复合硅酸盐水泥</w:t>
            </w:r>
          </w:p>
        </w:tc>
        <w:tc>
          <w:tcPr>
            <w:tcW w:w="3205" w:type="dxa"/>
            <w:vMerge w:val="continue"/>
            <w:vAlign w:val="center"/>
          </w:tcPr>
          <w:p>
            <w:pPr>
              <w:autoSpaceDE w:val="0"/>
              <w:autoSpaceDN w:val="0"/>
              <w:adjustRightInd w:val="0"/>
              <w:spacing w:line="300" w:lineRule="exact"/>
              <w:jc w:val="center"/>
              <w:rPr>
                <w:rFonts w:ascii="仿宋_GB2312" w:hAnsi="宋体" w:eastAsia="仿宋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15" w:type="dxa"/>
            <w:vAlign w:val="center"/>
          </w:tcPr>
          <w:p>
            <w:pPr>
              <w:autoSpaceDE w:val="0"/>
              <w:autoSpaceDN w:val="0"/>
              <w:adjustRightInd w:val="0"/>
              <w:spacing w:line="300" w:lineRule="exact"/>
              <w:jc w:val="center"/>
              <w:rPr>
                <w:rFonts w:ascii="仿宋_GB2312" w:hAnsi="宋体" w:eastAsia="仿宋_GB2312" w:cs="Times New Roman"/>
                <w:color w:val="auto"/>
                <w:szCs w:val="21"/>
              </w:rPr>
            </w:pPr>
            <w:r>
              <w:rPr>
                <w:rFonts w:hint="eastAsia" w:ascii="仿宋_GB2312" w:hAnsi="宋体" w:eastAsia="仿宋_GB2312" w:cs="Times New Roman"/>
                <w:color w:val="auto"/>
                <w:szCs w:val="21"/>
              </w:rPr>
              <w:t>特种水泥</w:t>
            </w:r>
          </w:p>
        </w:tc>
        <w:tc>
          <w:tcPr>
            <w:tcW w:w="1031" w:type="dxa"/>
            <w:vAlign w:val="center"/>
          </w:tcPr>
          <w:p>
            <w:pPr>
              <w:autoSpaceDE w:val="0"/>
              <w:autoSpaceDN w:val="0"/>
              <w:adjustRightInd w:val="0"/>
              <w:spacing w:line="300" w:lineRule="exact"/>
              <w:jc w:val="center"/>
              <w:rPr>
                <w:rFonts w:ascii="仿宋_GB2312" w:hAnsi="宋体" w:eastAsia="仿宋_GB2312" w:cs="Times New Roman"/>
                <w:color w:val="auto"/>
                <w:szCs w:val="21"/>
              </w:rPr>
            </w:pPr>
            <w:r>
              <w:rPr>
                <w:rFonts w:hint="eastAsia" w:ascii="仿宋_GB2312" w:hAnsi="宋体" w:eastAsia="仿宋_GB2312" w:cs="Times New Roman"/>
                <w:color w:val="auto"/>
                <w:szCs w:val="21"/>
              </w:rPr>
              <w:t>1</w:t>
            </w:r>
          </w:p>
        </w:tc>
        <w:tc>
          <w:tcPr>
            <w:tcW w:w="3309" w:type="dxa"/>
            <w:vAlign w:val="center"/>
          </w:tcPr>
          <w:p>
            <w:pPr>
              <w:autoSpaceDE w:val="0"/>
              <w:autoSpaceDN w:val="0"/>
              <w:adjustRightInd w:val="0"/>
              <w:spacing w:line="300" w:lineRule="exact"/>
              <w:jc w:val="center"/>
              <w:rPr>
                <w:rFonts w:ascii="仿宋_GB2312" w:hAnsi="宋体" w:eastAsia="仿宋_GB2312" w:cs="Times New Roman"/>
                <w:color w:val="auto"/>
                <w:szCs w:val="21"/>
              </w:rPr>
            </w:pPr>
            <w:r>
              <w:rPr>
                <w:rFonts w:hint="eastAsia" w:ascii="仿宋_GB2312" w:hAnsi="宋体" w:eastAsia="仿宋_GB2312" w:cs="Times New Roman"/>
                <w:color w:val="auto"/>
                <w:szCs w:val="21"/>
              </w:rPr>
              <w:t>白色硅酸盐水泥</w:t>
            </w:r>
          </w:p>
        </w:tc>
        <w:tc>
          <w:tcPr>
            <w:tcW w:w="3205" w:type="dxa"/>
            <w:vAlign w:val="center"/>
          </w:tcPr>
          <w:p>
            <w:pPr>
              <w:autoSpaceDE w:val="0"/>
              <w:autoSpaceDN w:val="0"/>
              <w:adjustRightInd w:val="0"/>
              <w:spacing w:line="300" w:lineRule="exact"/>
              <w:jc w:val="center"/>
              <w:rPr>
                <w:rFonts w:ascii="仿宋_GB2312" w:hAnsi="宋体" w:eastAsia="仿宋_GB2312" w:cs="Times New Roman"/>
                <w:color w:val="auto"/>
                <w:szCs w:val="21"/>
              </w:rPr>
            </w:pPr>
            <w:r>
              <w:rPr>
                <w:rFonts w:hint="eastAsia" w:ascii="仿宋_GB2312" w:hAnsi="宋体" w:eastAsia="仿宋_GB2312" w:cs="Times New Roman"/>
                <w:color w:val="auto"/>
                <w:szCs w:val="21"/>
              </w:rPr>
              <w:t>GB/T2015-2017</w:t>
            </w:r>
          </w:p>
          <w:p>
            <w:pPr>
              <w:autoSpaceDE w:val="0"/>
              <w:autoSpaceDN w:val="0"/>
              <w:adjustRightInd w:val="0"/>
              <w:spacing w:line="300" w:lineRule="exact"/>
              <w:jc w:val="center"/>
              <w:rPr>
                <w:rFonts w:ascii="仿宋_GB2312" w:hAnsi="宋体" w:eastAsia="仿宋_GB2312" w:cs="Times New Roman"/>
                <w:color w:val="auto"/>
                <w:szCs w:val="21"/>
              </w:rPr>
            </w:pPr>
            <w:r>
              <w:rPr>
                <w:rFonts w:hint="eastAsia" w:ascii="仿宋_GB2312" w:hAnsi="宋体" w:eastAsia="仿宋_GB2312" w:cs="Times New Roman"/>
                <w:color w:val="auto"/>
                <w:szCs w:val="21"/>
              </w:rPr>
              <w:t>GB31893-2015</w:t>
            </w:r>
          </w:p>
        </w:tc>
      </w:tr>
    </w:tbl>
    <w:p>
      <w:pPr>
        <w:snapToGrid w:val="0"/>
        <w:spacing w:line="360" w:lineRule="auto"/>
        <w:jc w:val="left"/>
        <w:rPr>
          <w:rFonts w:ascii="仿宋_GB2312" w:hAnsi="宋体" w:eastAsia="仿宋_GB2312" w:cs="Times New Roman"/>
          <w:b/>
          <w:color w:val="auto"/>
          <w:sz w:val="28"/>
          <w:szCs w:val="28"/>
        </w:rPr>
      </w:pPr>
    </w:p>
    <w:p>
      <w:pPr>
        <w:snapToGrid w:val="0"/>
        <w:spacing w:line="360" w:lineRule="auto"/>
        <w:jc w:val="left"/>
        <w:rPr>
          <w:rFonts w:ascii="仿宋_GB2312" w:hAnsi="宋体" w:eastAsia="仿宋_GB2312" w:cs="Times New Roman"/>
          <w:b/>
          <w:color w:val="auto"/>
          <w:sz w:val="28"/>
          <w:szCs w:val="28"/>
        </w:rPr>
      </w:pPr>
      <w:r>
        <w:rPr>
          <w:rFonts w:hint="eastAsia" w:ascii="仿宋_GB2312" w:hAnsi="宋体" w:eastAsia="仿宋_GB2312" w:cs="Times New Roman"/>
          <w:b/>
          <w:color w:val="auto"/>
          <w:sz w:val="28"/>
          <w:szCs w:val="28"/>
        </w:rPr>
        <w:t>3.术语和定义</w:t>
      </w:r>
    </w:p>
    <w:p>
      <w:pPr>
        <w:snapToGrid w:val="0"/>
        <w:spacing w:line="360" w:lineRule="auto"/>
        <w:ind w:firstLine="537" w:firstLineChars="192"/>
        <w:jc w:val="left"/>
        <w:rPr>
          <w:rFonts w:ascii="仿宋_GB2312" w:hAnsi="宋体" w:eastAsia="仿宋_GB2312" w:cs="Times New Roman"/>
          <w:color w:val="auto"/>
          <w:sz w:val="28"/>
          <w:szCs w:val="28"/>
        </w:rPr>
      </w:pPr>
      <w:r>
        <w:rPr>
          <w:rFonts w:hint="eastAsia" w:ascii="仿宋_GB2312" w:hAnsi="宋体" w:eastAsia="仿宋_GB2312" w:cs="Times New Roman"/>
          <w:color w:val="auto"/>
          <w:sz w:val="28"/>
          <w:szCs w:val="28"/>
        </w:rPr>
        <w:t>下列术语和定义适用于本细则，细则中未列出的术语和定义同相关引用标准。</w:t>
      </w:r>
    </w:p>
    <w:tbl>
      <w:tblPr>
        <w:tblStyle w:val="5"/>
        <w:tblW w:w="94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74"/>
        <w:gridCol w:w="6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2774" w:type="dxa"/>
            <w:vAlign w:val="center"/>
          </w:tcPr>
          <w:p>
            <w:pPr>
              <w:snapToGrid w:val="0"/>
              <w:spacing w:line="300" w:lineRule="exact"/>
              <w:jc w:val="center"/>
              <w:rPr>
                <w:rFonts w:ascii="黑体" w:hAnsi="黑体" w:eastAsia="黑体" w:cs="Times New Roman"/>
                <w:color w:val="auto"/>
                <w:szCs w:val="21"/>
              </w:rPr>
            </w:pPr>
            <w:r>
              <w:rPr>
                <w:rFonts w:hint="eastAsia" w:ascii="黑体" w:hAnsi="黑体" w:eastAsia="黑体" w:cs="Times New Roman"/>
                <w:color w:val="auto"/>
                <w:szCs w:val="21"/>
              </w:rPr>
              <w:t>产品种类</w:t>
            </w:r>
          </w:p>
        </w:tc>
        <w:tc>
          <w:tcPr>
            <w:tcW w:w="6628" w:type="dxa"/>
            <w:vAlign w:val="center"/>
          </w:tcPr>
          <w:p>
            <w:pPr>
              <w:snapToGrid w:val="0"/>
              <w:spacing w:line="300" w:lineRule="exact"/>
              <w:jc w:val="center"/>
              <w:rPr>
                <w:rFonts w:ascii="黑体" w:hAnsi="黑体" w:eastAsia="黑体" w:cs="Times New Roman"/>
                <w:color w:val="auto"/>
                <w:szCs w:val="21"/>
              </w:rPr>
            </w:pPr>
            <w:r>
              <w:rPr>
                <w:rFonts w:hint="eastAsia" w:ascii="黑体" w:hAnsi="黑体" w:eastAsia="黑体" w:cs="Times New Roman"/>
                <w:color w:val="auto"/>
                <w:szCs w:val="21"/>
              </w:rPr>
              <w:t>产品种类描述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774" w:type="dxa"/>
            <w:vAlign w:val="center"/>
          </w:tcPr>
          <w:p>
            <w:pPr>
              <w:autoSpaceDE w:val="0"/>
              <w:autoSpaceDN w:val="0"/>
              <w:adjustRightInd w:val="0"/>
              <w:spacing w:line="300" w:lineRule="exact"/>
              <w:jc w:val="center"/>
              <w:rPr>
                <w:rFonts w:ascii="仿宋_GB2312" w:hAnsi="宋体" w:eastAsia="仿宋_GB2312" w:cs="Times New Roman"/>
                <w:color w:val="auto"/>
                <w:szCs w:val="21"/>
              </w:rPr>
            </w:pPr>
            <w:r>
              <w:rPr>
                <w:rFonts w:hint="eastAsia" w:ascii="仿宋_GB2312" w:hAnsi="宋体" w:eastAsia="仿宋_GB2312" w:cs="Times New Roman"/>
                <w:color w:val="auto"/>
                <w:szCs w:val="21"/>
              </w:rPr>
              <w:t>通用硅酸盐水泥</w:t>
            </w:r>
          </w:p>
        </w:tc>
        <w:tc>
          <w:tcPr>
            <w:tcW w:w="6628" w:type="dxa"/>
            <w:vAlign w:val="center"/>
          </w:tcPr>
          <w:p>
            <w:pPr>
              <w:snapToGrid w:val="0"/>
              <w:jc w:val="left"/>
              <w:rPr>
                <w:rFonts w:ascii="仿宋_GB2312" w:hAnsi="宋体" w:eastAsia="仿宋_GB2312" w:cs="Times New Roman"/>
                <w:color w:val="auto"/>
                <w:szCs w:val="21"/>
              </w:rPr>
            </w:pPr>
            <w:r>
              <w:rPr>
                <w:rFonts w:hint="eastAsia" w:ascii="宋体" w:hAnsi="宋体"/>
                <w:color w:val="auto"/>
                <w:szCs w:val="21"/>
              </w:rPr>
              <w:t>以硅酸盐水泥熟料为主的细磨材料，与水混合形成塑性浆体后，能在空气中水化硬化，并能在水中继续硬化保持强度和体积稳定性的无机水硬性胶凝材料。包括硅酸盐水泥、普通硅酸盐水泥、矿渣硅酸盐水泥、粉煤灰硅酸盐水泥、火山灰质硅酸盐水泥、复合硅酸盐水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774" w:type="dxa"/>
            <w:vAlign w:val="center"/>
          </w:tcPr>
          <w:p>
            <w:pPr>
              <w:autoSpaceDE w:val="0"/>
              <w:autoSpaceDN w:val="0"/>
              <w:adjustRightInd w:val="0"/>
              <w:spacing w:line="300" w:lineRule="exact"/>
              <w:jc w:val="center"/>
              <w:rPr>
                <w:rFonts w:ascii="仿宋_GB2312" w:hAnsi="宋体" w:eastAsia="仿宋_GB2312" w:cs="Times New Roman"/>
                <w:color w:val="auto"/>
                <w:szCs w:val="21"/>
              </w:rPr>
            </w:pPr>
            <w:r>
              <w:rPr>
                <w:rFonts w:hint="eastAsia" w:ascii="仿宋_GB2312" w:hAnsi="宋体" w:eastAsia="仿宋_GB2312" w:cs="Times New Roman"/>
                <w:color w:val="auto"/>
                <w:szCs w:val="21"/>
              </w:rPr>
              <w:t>白色硅酸盐水泥</w:t>
            </w:r>
          </w:p>
        </w:tc>
        <w:tc>
          <w:tcPr>
            <w:tcW w:w="6628" w:type="dxa"/>
            <w:vAlign w:val="center"/>
          </w:tcPr>
          <w:p>
            <w:pPr>
              <w:snapToGrid w:val="0"/>
              <w:jc w:val="left"/>
              <w:rPr>
                <w:rFonts w:ascii="宋体" w:hAnsi="宋体"/>
                <w:color w:val="auto"/>
                <w:szCs w:val="21"/>
              </w:rPr>
            </w:pPr>
            <w:r>
              <w:rPr>
                <w:rFonts w:hint="eastAsia" w:ascii="宋体" w:hAnsi="宋体"/>
                <w:color w:val="auto"/>
                <w:szCs w:val="21"/>
              </w:rPr>
              <w:t>由氧化铁含量少的硅酸盐水泥熟料、适量石膏及本标准规定的混合材料，磨细制成水硬性胶凝材料称为白色硅酸盐水泥（简称“白水泥”）。</w:t>
            </w:r>
          </w:p>
        </w:tc>
      </w:tr>
    </w:tbl>
    <w:p>
      <w:pPr>
        <w:snapToGrid w:val="0"/>
        <w:spacing w:line="460" w:lineRule="exact"/>
        <w:ind w:firstLine="420" w:firstLineChars="200"/>
        <w:rPr>
          <w:rFonts w:ascii="宋体" w:hAnsi="宋体"/>
          <w:color w:val="auto"/>
          <w:szCs w:val="21"/>
        </w:rPr>
      </w:pPr>
    </w:p>
    <w:p>
      <w:pPr>
        <w:snapToGrid w:val="0"/>
        <w:spacing w:line="360" w:lineRule="auto"/>
        <w:jc w:val="left"/>
        <w:rPr>
          <w:rFonts w:ascii="仿宋_GB2312" w:hAnsi="宋体" w:eastAsia="仿宋_GB2312" w:cs="Times New Roman"/>
          <w:b/>
          <w:color w:val="auto"/>
          <w:sz w:val="28"/>
          <w:szCs w:val="28"/>
        </w:rPr>
      </w:pPr>
      <w:r>
        <w:rPr>
          <w:rFonts w:ascii="仿宋_GB2312" w:hAnsi="宋体" w:eastAsia="仿宋_GB2312" w:cs="Times New Roman"/>
          <w:b/>
          <w:color w:val="auto"/>
          <w:sz w:val="28"/>
          <w:szCs w:val="28"/>
        </w:rPr>
        <w:t>4</w:t>
      </w:r>
      <w:r>
        <w:rPr>
          <w:rFonts w:hint="eastAsia" w:ascii="仿宋_GB2312" w:hAnsi="宋体" w:eastAsia="仿宋_GB2312" w:cs="Times New Roman"/>
          <w:b/>
          <w:color w:val="auto"/>
          <w:sz w:val="28"/>
          <w:szCs w:val="28"/>
        </w:rPr>
        <w:t>.检验依据</w:t>
      </w:r>
    </w:p>
    <w:tbl>
      <w:tblPr>
        <w:tblStyle w:val="5"/>
        <w:tblW w:w="82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9"/>
        <w:gridCol w:w="3377"/>
        <w:gridCol w:w="2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jc w:val="center"/>
        </w:trPr>
        <w:tc>
          <w:tcPr>
            <w:tcW w:w="2329" w:type="dxa"/>
            <w:vAlign w:val="center"/>
          </w:tcPr>
          <w:p>
            <w:pPr>
              <w:snapToGrid w:val="0"/>
              <w:jc w:val="center"/>
              <w:rPr>
                <w:rFonts w:ascii="黑体" w:hAnsi="黑体" w:eastAsia="黑体" w:cs="Times New Roman"/>
                <w:color w:val="auto"/>
                <w:szCs w:val="21"/>
              </w:rPr>
            </w:pPr>
            <w:r>
              <w:rPr>
                <w:rFonts w:hint="eastAsia" w:ascii="黑体" w:hAnsi="黑体" w:eastAsia="黑体" w:cs="Times New Roman"/>
                <w:color w:val="auto"/>
                <w:szCs w:val="21"/>
              </w:rPr>
              <w:t>标准号</w:t>
            </w:r>
          </w:p>
        </w:tc>
        <w:tc>
          <w:tcPr>
            <w:tcW w:w="3377" w:type="dxa"/>
            <w:vAlign w:val="center"/>
          </w:tcPr>
          <w:p>
            <w:pPr>
              <w:snapToGrid w:val="0"/>
              <w:jc w:val="center"/>
              <w:rPr>
                <w:rFonts w:ascii="黑体" w:hAnsi="黑体" w:eastAsia="黑体" w:cs="Times New Roman"/>
                <w:color w:val="auto"/>
                <w:szCs w:val="21"/>
              </w:rPr>
            </w:pPr>
            <w:r>
              <w:rPr>
                <w:rFonts w:hint="eastAsia" w:ascii="黑体" w:hAnsi="黑体" w:eastAsia="黑体" w:cs="Times New Roman"/>
                <w:color w:val="auto"/>
                <w:szCs w:val="21"/>
              </w:rPr>
              <w:t>标准名称</w:t>
            </w:r>
          </w:p>
        </w:tc>
        <w:tc>
          <w:tcPr>
            <w:tcW w:w="2526" w:type="dxa"/>
            <w:vAlign w:val="center"/>
          </w:tcPr>
          <w:p>
            <w:pPr>
              <w:snapToGrid w:val="0"/>
              <w:jc w:val="center"/>
              <w:rPr>
                <w:rFonts w:ascii="黑体" w:hAnsi="黑体" w:eastAsia="黑体" w:cs="Times New Roman"/>
                <w:color w:val="auto"/>
                <w:szCs w:val="21"/>
              </w:rPr>
            </w:pPr>
            <w:r>
              <w:rPr>
                <w:rFonts w:hint="eastAsia" w:ascii="黑体" w:hAnsi="黑体" w:eastAsia="黑体" w:cs="Times New Roman"/>
                <w:color w:val="auto"/>
                <w:szCs w:val="21"/>
              </w:rPr>
              <w:t>已获资质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2329" w:type="dxa"/>
            <w:vAlign w:val="center"/>
          </w:tcPr>
          <w:p>
            <w:pPr>
              <w:spacing w:before="50"/>
              <w:jc w:val="center"/>
              <w:rPr>
                <w:rFonts w:ascii="仿宋_GB2312" w:hAnsi="宋体" w:eastAsia="仿宋_GB2312" w:cs="Times New Roman"/>
                <w:color w:val="auto"/>
                <w:szCs w:val="21"/>
              </w:rPr>
            </w:pPr>
            <w:r>
              <w:rPr>
                <w:rFonts w:hint="eastAsia" w:ascii="仿宋_GB2312" w:hAnsi="宋体" w:eastAsia="仿宋_GB2312" w:cs="Times New Roman"/>
                <w:color w:val="auto"/>
                <w:szCs w:val="21"/>
              </w:rPr>
              <w:t>GB 175-2007</w:t>
            </w:r>
          </w:p>
        </w:tc>
        <w:tc>
          <w:tcPr>
            <w:tcW w:w="3377" w:type="dxa"/>
            <w:vAlign w:val="center"/>
          </w:tcPr>
          <w:p>
            <w:pPr>
              <w:snapToGrid w:val="0"/>
              <w:jc w:val="center"/>
              <w:rPr>
                <w:rFonts w:ascii="仿宋_GB2312" w:hAnsi="宋体" w:eastAsia="仿宋_GB2312" w:cs="Times New Roman"/>
                <w:color w:val="auto"/>
                <w:szCs w:val="21"/>
              </w:rPr>
            </w:pPr>
            <w:r>
              <w:rPr>
                <w:rFonts w:hint="eastAsia" w:ascii="仿宋_GB2312" w:hAnsi="宋体" w:eastAsia="仿宋_GB2312" w:cs="Times New Roman"/>
                <w:color w:val="auto"/>
                <w:szCs w:val="21"/>
              </w:rPr>
              <w:t xml:space="preserve">  通用硅酸盐水泥</w:t>
            </w:r>
          </w:p>
        </w:tc>
        <w:tc>
          <w:tcPr>
            <w:tcW w:w="2526" w:type="dxa"/>
            <w:vAlign w:val="center"/>
          </w:tcPr>
          <w:p>
            <w:pPr>
              <w:snapToGrid w:val="0"/>
              <w:jc w:val="center"/>
              <w:rPr>
                <w:rFonts w:ascii="仿宋_GB2312" w:hAnsi="宋体" w:eastAsia="仿宋_GB2312" w:cs="Times New Roman"/>
                <w:color w:val="auto"/>
                <w:szCs w:val="21"/>
              </w:rPr>
            </w:pPr>
            <w:r>
              <w:rPr>
                <w:rFonts w:hint="eastAsia" w:ascii="仿宋_GB2312" w:hAnsi="宋体" w:eastAsia="仿宋_GB2312" w:cs="Times New Roman"/>
                <w:color w:val="auto"/>
                <w:szCs w:val="21"/>
              </w:rPr>
              <w:sym w:font="Wingdings 2" w:char="F052"/>
            </w:r>
            <w:r>
              <w:rPr>
                <w:rFonts w:hint="eastAsia" w:ascii="仿宋_GB2312" w:hAnsi="宋体" w:eastAsia="仿宋_GB2312" w:cs="Times New Roman"/>
                <w:color w:val="auto"/>
                <w:szCs w:val="21"/>
              </w:rPr>
              <w:t xml:space="preserve">CMA  </w:t>
            </w:r>
            <w:r>
              <w:rPr>
                <w:rFonts w:hint="eastAsia" w:ascii="仿宋_GB2312" w:hAnsi="宋体" w:eastAsia="仿宋_GB2312" w:cs="Times New Roman"/>
                <w:color w:val="auto"/>
                <w:szCs w:val="21"/>
              </w:rPr>
              <w:sym w:font="Wingdings 2" w:char="F052"/>
            </w:r>
            <w:r>
              <w:rPr>
                <w:rFonts w:hint="eastAsia" w:ascii="仿宋_GB2312" w:hAnsi="宋体" w:eastAsia="仿宋_GB2312" w:cs="Times New Roman"/>
                <w:color w:val="auto"/>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2329" w:type="dxa"/>
            <w:vAlign w:val="center"/>
          </w:tcPr>
          <w:p>
            <w:pPr>
              <w:spacing w:before="50"/>
              <w:jc w:val="center"/>
              <w:rPr>
                <w:rFonts w:ascii="仿宋_GB2312" w:hAnsi="宋体" w:eastAsia="仿宋_GB2312" w:cs="Times New Roman"/>
                <w:color w:val="auto"/>
                <w:szCs w:val="21"/>
              </w:rPr>
            </w:pPr>
            <w:r>
              <w:rPr>
                <w:rFonts w:hint="eastAsia" w:ascii="仿宋_GB2312" w:hAnsi="宋体" w:eastAsia="仿宋_GB2312" w:cs="Times New Roman"/>
                <w:color w:val="auto"/>
                <w:szCs w:val="21"/>
              </w:rPr>
              <w:t>GB/T 2015-2017</w:t>
            </w:r>
          </w:p>
        </w:tc>
        <w:tc>
          <w:tcPr>
            <w:tcW w:w="3377" w:type="dxa"/>
            <w:vAlign w:val="center"/>
          </w:tcPr>
          <w:p>
            <w:pPr>
              <w:snapToGrid w:val="0"/>
              <w:jc w:val="center"/>
              <w:rPr>
                <w:rFonts w:ascii="仿宋_GB2312" w:hAnsi="宋体" w:eastAsia="仿宋_GB2312" w:cs="Times New Roman"/>
                <w:color w:val="auto"/>
                <w:szCs w:val="21"/>
              </w:rPr>
            </w:pPr>
            <w:r>
              <w:rPr>
                <w:rFonts w:hint="eastAsia" w:ascii="仿宋_GB2312" w:hAnsi="宋体" w:eastAsia="仿宋_GB2312" w:cs="Times New Roman"/>
                <w:color w:val="auto"/>
                <w:szCs w:val="21"/>
              </w:rPr>
              <w:t>白色硅酸盐水泥</w:t>
            </w:r>
          </w:p>
        </w:tc>
        <w:tc>
          <w:tcPr>
            <w:tcW w:w="2526" w:type="dxa"/>
            <w:vAlign w:val="center"/>
          </w:tcPr>
          <w:p>
            <w:pPr>
              <w:snapToGrid w:val="0"/>
              <w:jc w:val="center"/>
              <w:rPr>
                <w:rFonts w:ascii="仿宋_GB2312" w:hAnsi="宋体" w:eastAsia="仿宋_GB2312" w:cs="Times New Roman"/>
                <w:color w:val="auto"/>
                <w:szCs w:val="21"/>
              </w:rPr>
            </w:pPr>
            <w:r>
              <w:rPr>
                <w:rFonts w:hint="eastAsia" w:ascii="仿宋_GB2312" w:hAnsi="宋体" w:eastAsia="仿宋_GB2312" w:cs="Times New Roman"/>
                <w:color w:val="auto"/>
                <w:szCs w:val="21"/>
              </w:rPr>
              <w:sym w:font="Wingdings 2" w:char="F052"/>
            </w:r>
            <w:r>
              <w:rPr>
                <w:rFonts w:hint="eastAsia" w:ascii="仿宋_GB2312" w:hAnsi="宋体" w:eastAsia="仿宋_GB2312" w:cs="Times New Roman"/>
                <w:color w:val="auto"/>
                <w:szCs w:val="21"/>
              </w:rPr>
              <w:t xml:space="preserve">CMA  </w:t>
            </w:r>
            <w:r>
              <w:rPr>
                <w:rFonts w:hint="eastAsia" w:ascii="仿宋_GB2312" w:hAnsi="宋体" w:eastAsia="仿宋_GB2312" w:cs="Times New Roman"/>
                <w:color w:val="auto"/>
                <w:szCs w:val="21"/>
              </w:rPr>
              <w:sym w:font="Wingdings 2" w:char="F052"/>
            </w:r>
            <w:r>
              <w:rPr>
                <w:rFonts w:hint="eastAsia" w:ascii="仿宋_GB2312" w:hAnsi="宋体" w:eastAsia="仿宋_GB2312" w:cs="Times New Roman"/>
                <w:color w:val="auto"/>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29" w:type="dxa"/>
            <w:vAlign w:val="center"/>
          </w:tcPr>
          <w:p>
            <w:pPr>
              <w:spacing w:before="50"/>
              <w:jc w:val="center"/>
              <w:rPr>
                <w:rFonts w:ascii="仿宋_GB2312" w:hAnsi="宋体" w:eastAsia="仿宋_GB2312" w:cs="Times New Roman"/>
                <w:color w:val="auto"/>
                <w:szCs w:val="21"/>
              </w:rPr>
            </w:pPr>
            <w:r>
              <w:rPr>
                <w:rFonts w:hint="eastAsia" w:ascii="仿宋_GB2312" w:hAnsi="宋体" w:eastAsia="仿宋_GB2312" w:cs="Times New Roman"/>
                <w:color w:val="auto"/>
                <w:szCs w:val="21"/>
              </w:rPr>
              <w:t>GB/T 176-2008</w:t>
            </w:r>
          </w:p>
        </w:tc>
        <w:tc>
          <w:tcPr>
            <w:tcW w:w="3377" w:type="dxa"/>
            <w:vAlign w:val="center"/>
          </w:tcPr>
          <w:p>
            <w:pPr>
              <w:snapToGrid w:val="0"/>
              <w:jc w:val="center"/>
              <w:rPr>
                <w:rFonts w:ascii="仿宋_GB2312" w:hAnsi="宋体" w:eastAsia="仿宋_GB2312" w:cs="Times New Roman"/>
                <w:color w:val="auto"/>
                <w:szCs w:val="21"/>
              </w:rPr>
            </w:pPr>
            <w:r>
              <w:rPr>
                <w:rFonts w:hint="eastAsia" w:ascii="仿宋_GB2312" w:hAnsi="宋体" w:eastAsia="仿宋_GB2312" w:cs="Times New Roman"/>
                <w:color w:val="auto"/>
                <w:szCs w:val="21"/>
              </w:rPr>
              <w:t>水泥化学分析方法</w:t>
            </w:r>
          </w:p>
        </w:tc>
        <w:tc>
          <w:tcPr>
            <w:tcW w:w="2526" w:type="dxa"/>
            <w:vAlign w:val="center"/>
          </w:tcPr>
          <w:p>
            <w:pPr>
              <w:snapToGrid w:val="0"/>
              <w:jc w:val="center"/>
              <w:rPr>
                <w:rFonts w:ascii="仿宋_GB2312" w:hAnsi="宋体" w:eastAsia="仿宋_GB2312" w:cs="Times New Roman"/>
                <w:color w:val="auto"/>
                <w:szCs w:val="21"/>
              </w:rPr>
            </w:pPr>
            <w:r>
              <w:rPr>
                <w:rFonts w:hint="eastAsia" w:ascii="仿宋_GB2312" w:hAnsi="宋体" w:eastAsia="仿宋_GB2312" w:cs="Times New Roman"/>
                <w:color w:val="auto"/>
                <w:szCs w:val="21"/>
              </w:rPr>
              <w:sym w:font="Wingdings 2" w:char="F052"/>
            </w:r>
            <w:r>
              <w:rPr>
                <w:rFonts w:hint="eastAsia" w:ascii="仿宋_GB2312" w:hAnsi="宋体" w:eastAsia="仿宋_GB2312" w:cs="Times New Roman"/>
                <w:color w:val="auto"/>
                <w:szCs w:val="21"/>
              </w:rPr>
              <w:t xml:space="preserve">CMA  </w:t>
            </w:r>
            <w:r>
              <w:rPr>
                <w:rFonts w:hint="eastAsia" w:ascii="仿宋_GB2312" w:hAnsi="宋体" w:eastAsia="仿宋_GB2312" w:cs="Times New Roman"/>
                <w:color w:val="auto"/>
                <w:szCs w:val="21"/>
              </w:rPr>
              <w:sym w:font="Wingdings 2" w:char="F052"/>
            </w:r>
            <w:r>
              <w:rPr>
                <w:rFonts w:hint="eastAsia" w:ascii="仿宋_GB2312" w:hAnsi="宋体" w:eastAsia="仿宋_GB2312" w:cs="Times New Roman"/>
                <w:color w:val="auto"/>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2329" w:type="dxa"/>
            <w:vAlign w:val="center"/>
          </w:tcPr>
          <w:p>
            <w:pPr>
              <w:spacing w:before="50"/>
              <w:jc w:val="center"/>
              <w:rPr>
                <w:rFonts w:ascii="仿宋_GB2312" w:hAnsi="宋体" w:eastAsia="仿宋_GB2312" w:cs="Times New Roman"/>
                <w:color w:val="auto"/>
                <w:szCs w:val="21"/>
              </w:rPr>
            </w:pPr>
            <w:r>
              <w:rPr>
                <w:rFonts w:hint="eastAsia" w:ascii="仿宋_GB2312" w:hAnsi="宋体" w:eastAsia="仿宋_GB2312" w:cs="Times New Roman"/>
                <w:color w:val="auto"/>
                <w:szCs w:val="21"/>
              </w:rPr>
              <w:t>GB/T 1346-2011</w:t>
            </w:r>
          </w:p>
        </w:tc>
        <w:tc>
          <w:tcPr>
            <w:tcW w:w="3377" w:type="dxa"/>
            <w:vAlign w:val="center"/>
          </w:tcPr>
          <w:p>
            <w:pPr>
              <w:snapToGrid w:val="0"/>
              <w:jc w:val="center"/>
              <w:rPr>
                <w:rFonts w:ascii="仿宋_GB2312" w:hAnsi="宋体" w:eastAsia="仿宋_GB2312" w:cs="Times New Roman"/>
                <w:color w:val="auto"/>
                <w:szCs w:val="21"/>
              </w:rPr>
            </w:pPr>
            <w:r>
              <w:rPr>
                <w:rFonts w:hint="eastAsia" w:ascii="仿宋_GB2312" w:hAnsi="宋体" w:eastAsia="仿宋_GB2312" w:cs="Times New Roman"/>
                <w:color w:val="auto"/>
                <w:szCs w:val="21"/>
              </w:rPr>
              <w:t>水泥标准稠度用水量、凝结时间、安定性检验方法</w:t>
            </w:r>
          </w:p>
        </w:tc>
        <w:tc>
          <w:tcPr>
            <w:tcW w:w="2526" w:type="dxa"/>
            <w:vAlign w:val="center"/>
          </w:tcPr>
          <w:p>
            <w:pPr>
              <w:snapToGrid w:val="0"/>
              <w:jc w:val="center"/>
              <w:rPr>
                <w:rFonts w:ascii="仿宋_GB2312" w:hAnsi="宋体" w:eastAsia="仿宋_GB2312" w:cs="Times New Roman"/>
                <w:color w:val="auto"/>
                <w:szCs w:val="21"/>
              </w:rPr>
            </w:pPr>
            <w:r>
              <w:rPr>
                <w:rFonts w:hint="eastAsia" w:ascii="仿宋_GB2312" w:hAnsi="宋体" w:eastAsia="仿宋_GB2312" w:cs="Times New Roman"/>
                <w:color w:val="auto"/>
                <w:szCs w:val="21"/>
              </w:rPr>
              <w:sym w:font="Wingdings 2" w:char="F052"/>
            </w:r>
            <w:r>
              <w:rPr>
                <w:rFonts w:hint="eastAsia" w:ascii="仿宋_GB2312" w:hAnsi="宋体" w:eastAsia="仿宋_GB2312" w:cs="Times New Roman"/>
                <w:color w:val="auto"/>
                <w:szCs w:val="21"/>
              </w:rPr>
              <w:t xml:space="preserve">CMA  </w:t>
            </w:r>
            <w:r>
              <w:rPr>
                <w:rFonts w:hint="eastAsia" w:ascii="仿宋_GB2312" w:hAnsi="宋体" w:eastAsia="仿宋_GB2312" w:cs="Times New Roman"/>
                <w:color w:val="auto"/>
                <w:szCs w:val="21"/>
              </w:rPr>
              <w:sym w:font="Wingdings 2" w:char="F052"/>
            </w:r>
            <w:r>
              <w:rPr>
                <w:rFonts w:hint="eastAsia" w:ascii="仿宋_GB2312" w:hAnsi="宋体" w:eastAsia="仿宋_GB2312" w:cs="Times New Roman"/>
                <w:color w:val="auto"/>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2329" w:type="dxa"/>
            <w:vAlign w:val="center"/>
          </w:tcPr>
          <w:p>
            <w:pPr>
              <w:spacing w:before="50"/>
              <w:jc w:val="center"/>
              <w:rPr>
                <w:rFonts w:ascii="仿宋_GB2312" w:hAnsi="宋体" w:eastAsia="仿宋_GB2312" w:cs="Times New Roman"/>
                <w:color w:val="auto"/>
                <w:szCs w:val="21"/>
              </w:rPr>
            </w:pPr>
            <w:r>
              <w:rPr>
                <w:rFonts w:hint="eastAsia" w:ascii="仿宋_GB2312" w:hAnsi="宋体" w:eastAsia="仿宋_GB2312" w:cs="Times New Roman"/>
                <w:color w:val="auto"/>
                <w:szCs w:val="21"/>
              </w:rPr>
              <w:t>GB/T 17671-1999</w:t>
            </w:r>
          </w:p>
        </w:tc>
        <w:tc>
          <w:tcPr>
            <w:tcW w:w="3377" w:type="dxa"/>
            <w:vAlign w:val="center"/>
          </w:tcPr>
          <w:p>
            <w:pPr>
              <w:snapToGrid w:val="0"/>
              <w:jc w:val="center"/>
              <w:rPr>
                <w:rFonts w:ascii="仿宋_GB2312" w:hAnsi="宋体" w:eastAsia="仿宋_GB2312" w:cs="Times New Roman"/>
                <w:color w:val="auto"/>
                <w:szCs w:val="21"/>
              </w:rPr>
            </w:pPr>
            <w:r>
              <w:rPr>
                <w:rFonts w:hint="eastAsia" w:ascii="仿宋_GB2312" w:hAnsi="宋体" w:eastAsia="仿宋_GB2312" w:cs="Times New Roman"/>
                <w:color w:val="auto"/>
                <w:szCs w:val="21"/>
              </w:rPr>
              <w:t>水泥胶砂强度检验方法（ISO法）</w:t>
            </w:r>
          </w:p>
        </w:tc>
        <w:tc>
          <w:tcPr>
            <w:tcW w:w="2526" w:type="dxa"/>
            <w:vAlign w:val="center"/>
          </w:tcPr>
          <w:p>
            <w:pPr>
              <w:snapToGrid w:val="0"/>
              <w:jc w:val="center"/>
              <w:rPr>
                <w:rFonts w:ascii="仿宋_GB2312" w:hAnsi="宋体" w:eastAsia="仿宋_GB2312" w:cs="Times New Roman"/>
                <w:color w:val="auto"/>
                <w:szCs w:val="21"/>
              </w:rPr>
            </w:pPr>
            <w:r>
              <w:rPr>
                <w:rFonts w:hint="eastAsia" w:ascii="仿宋_GB2312" w:hAnsi="宋体" w:eastAsia="仿宋_GB2312" w:cs="Times New Roman"/>
                <w:color w:val="auto"/>
                <w:szCs w:val="21"/>
              </w:rPr>
              <w:sym w:font="Wingdings 2" w:char="F052"/>
            </w:r>
            <w:r>
              <w:rPr>
                <w:rFonts w:hint="eastAsia" w:ascii="仿宋_GB2312" w:hAnsi="宋体" w:eastAsia="仿宋_GB2312" w:cs="Times New Roman"/>
                <w:color w:val="auto"/>
                <w:szCs w:val="21"/>
              </w:rPr>
              <w:t xml:space="preserve">CMA  </w:t>
            </w:r>
            <w:r>
              <w:rPr>
                <w:rFonts w:hint="eastAsia" w:ascii="仿宋_GB2312" w:hAnsi="宋体" w:eastAsia="仿宋_GB2312" w:cs="Times New Roman"/>
                <w:color w:val="auto"/>
                <w:szCs w:val="21"/>
              </w:rPr>
              <w:sym w:font="Wingdings 2" w:char="F052"/>
            </w:r>
            <w:r>
              <w:rPr>
                <w:rFonts w:hint="eastAsia" w:ascii="仿宋_GB2312" w:hAnsi="宋体" w:eastAsia="仿宋_GB2312" w:cs="Times New Roman"/>
                <w:color w:val="auto"/>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2329" w:type="dxa"/>
            <w:vAlign w:val="center"/>
          </w:tcPr>
          <w:p>
            <w:pPr>
              <w:spacing w:before="50"/>
              <w:jc w:val="center"/>
              <w:rPr>
                <w:rFonts w:ascii="仿宋_GB2312" w:hAnsi="宋体" w:eastAsia="仿宋_GB2312" w:cs="Times New Roman"/>
                <w:color w:val="auto"/>
                <w:szCs w:val="21"/>
              </w:rPr>
            </w:pPr>
            <w:r>
              <w:rPr>
                <w:rFonts w:hint="eastAsia" w:ascii="仿宋_GB2312" w:hAnsi="宋体" w:eastAsia="仿宋_GB2312" w:cs="Times New Roman"/>
                <w:color w:val="auto"/>
                <w:szCs w:val="21"/>
              </w:rPr>
              <w:t>GB/T 2419-2005</w:t>
            </w:r>
          </w:p>
        </w:tc>
        <w:tc>
          <w:tcPr>
            <w:tcW w:w="3377" w:type="dxa"/>
            <w:vAlign w:val="center"/>
          </w:tcPr>
          <w:p>
            <w:pPr>
              <w:snapToGrid w:val="0"/>
              <w:jc w:val="center"/>
              <w:rPr>
                <w:rFonts w:ascii="仿宋_GB2312" w:hAnsi="宋体" w:eastAsia="仿宋_GB2312" w:cs="Times New Roman"/>
                <w:color w:val="auto"/>
                <w:szCs w:val="21"/>
              </w:rPr>
            </w:pPr>
            <w:r>
              <w:rPr>
                <w:rFonts w:hint="eastAsia" w:ascii="仿宋_GB2312" w:hAnsi="宋体" w:eastAsia="仿宋_GB2312" w:cs="Times New Roman"/>
                <w:color w:val="auto"/>
                <w:szCs w:val="21"/>
              </w:rPr>
              <w:t>水泥胶砂流动度测定方法</w:t>
            </w:r>
          </w:p>
        </w:tc>
        <w:tc>
          <w:tcPr>
            <w:tcW w:w="2526" w:type="dxa"/>
            <w:vAlign w:val="center"/>
          </w:tcPr>
          <w:p>
            <w:pPr>
              <w:snapToGrid w:val="0"/>
              <w:jc w:val="center"/>
              <w:rPr>
                <w:rFonts w:ascii="仿宋_GB2312" w:hAnsi="宋体" w:eastAsia="仿宋_GB2312" w:cs="Times New Roman"/>
                <w:color w:val="auto"/>
                <w:szCs w:val="21"/>
              </w:rPr>
            </w:pPr>
            <w:r>
              <w:rPr>
                <w:rFonts w:hint="eastAsia" w:ascii="仿宋_GB2312" w:hAnsi="宋体" w:eastAsia="仿宋_GB2312" w:cs="Times New Roman"/>
                <w:color w:val="auto"/>
                <w:szCs w:val="21"/>
              </w:rPr>
              <w:sym w:font="Wingdings 2" w:char="F052"/>
            </w:r>
            <w:r>
              <w:rPr>
                <w:rFonts w:hint="eastAsia" w:ascii="仿宋_GB2312" w:hAnsi="宋体" w:eastAsia="仿宋_GB2312" w:cs="Times New Roman"/>
                <w:color w:val="auto"/>
                <w:szCs w:val="21"/>
              </w:rPr>
              <w:t xml:space="preserve">CMA  </w:t>
            </w:r>
            <w:r>
              <w:rPr>
                <w:rFonts w:hint="eastAsia" w:ascii="仿宋_GB2312" w:hAnsi="宋体" w:eastAsia="仿宋_GB2312" w:cs="Times New Roman"/>
                <w:color w:val="auto"/>
                <w:szCs w:val="21"/>
              </w:rPr>
              <w:sym w:font="Wingdings 2" w:char="F052"/>
            </w:r>
            <w:r>
              <w:rPr>
                <w:rFonts w:hint="eastAsia" w:ascii="仿宋_GB2312" w:hAnsi="宋体" w:eastAsia="仿宋_GB2312" w:cs="Times New Roman"/>
                <w:color w:val="auto"/>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2329" w:type="dxa"/>
            <w:vAlign w:val="center"/>
          </w:tcPr>
          <w:p>
            <w:pPr>
              <w:spacing w:before="50"/>
              <w:jc w:val="center"/>
              <w:rPr>
                <w:rFonts w:ascii="仿宋_GB2312" w:hAnsi="宋体" w:eastAsia="仿宋_GB2312" w:cs="Times New Roman"/>
                <w:color w:val="auto"/>
                <w:szCs w:val="21"/>
              </w:rPr>
            </w:pPr>
            <w:r>
              <w:rPr>
                <w:rFonts w:hint="eastAsia" w:ascii="仿宋_GB2312" w:hAnsi="宋体" w:eastAsia="仿宋_GB2312" w:cs="Times New Roman"/>
                <w:color w:val="auto"/>
                <w:szCs w:val="21"/>
              </w:rPr>
              <w:t>GB/T 750-1992</w:t>
            </w:r>
          </w:p>
        </w:tc>
        <w:tc>
          <w:tcPr>
            <w:tcW w:w="3377" w:type="dxa"/>
            <w:vAlign w:val="center"/>
          </w:tcPr>
          <w:p>
            <w:pPr>
              <w:snapToGrid w:val="0"/>
              <w:jc w:val="center"/>
              <w:rPr>
                <w:rFonts w:ascii="仿宋_GB2312" w:hAnsi="宋体" w:eastAsia="仿宋_GB2312" w:cs="Times New Roman"/>
                <w:color w:val="auto"/>
                <w:szCs w:val="21"/>
              </w:rPr>
            </w:pPr>
            <w:r>
              <w:rPr>
                <w:rFonts w:hint="eastAsia" w:ascii="仿宋_GB2312" w:hAnsi="宋体" w:eastAsia="仿宋_GB2312" w:cs="Times New Roman"/>
                <w:color w:val="auto"/>
                <w:szCs w:val="21"/>
              </w:rPr>
              <w:t>水泥压蒸安定性试验方法</w:t>
            </w:r>
          </w:p>
        </w:tc>
        <w:tc>
          <w:tcPr>
            <w:tcW w:w="2526" w:type="dxa"/>
            <w:vAlign w:val="center"/>
          </w:tcPr>
          <w:p>
            <w:pPr>
              <w:snapToGrid w:val="0"/>
              <w:jc w:val="center"/>
              <w:rPr>
                <w:rFonts w:ascii="仿宋_GB2312" w:hAnsi="宋体" w:eastAsia="仿宋_GB2312" w:cs="Times New Roman"/>
                <w:color w:val="auto"/>
                <w:szCs w:val="21"/>
              </w:rPr>
            </w:pPr>
            <w:r>
              <w:rPr>
                <w:rFonts w:hint="eastAsia" w:ascii="仿宋_GB2312" w:hAnsi="宋体" w:eastAsia="仿宋_GB2312" w:cs="Times New Roman"/>
                <w:color w:val="auto"/>
                <w:szCs w:val="21"/>
              </w:rPr>
              <w:sym w:font="Wingdings 2" w:char="F052"/>
            </w:r>
            <w:r>
              <w:rPr>
                <w:rFonts w:hint="eastAsia" w:ascii="仿宋_GB2312" w:hAnsi="宋体" w:eastAsia="仿宋_GB2312" w:cs="Times New Roman"/>
                <w:color w:val="auto"/>
                <w:szCs w:val="21"/>
              </w:rPr>
              <w:t xml:space="preserve">CMA  </w:t>
            </w:r>
            <w:r>
              <w:rPr>
                <w:rFonts w:hint="eastAsia" w:ascii="仿宋_GB2312" w:hAnsi="宋体" w:eastAsia="仿宋_GB2312" w:cs="Times New Roman"/>
                <w:color w:val="auto"/>
                <w:szCs w:val="21"/>
              </w:rPr>
              <w:sym w:font="Wingdings 2" w:char="F052"/>
            </w:r>
            <w:r>
              <w:rPr>
                <w:rFonts w:hint="eastAsia" w:ascii="仿宋_GB2312" w:hAnsi="宋体" w:eastAsia="仿宋_GB2312" w:cs="Times New Roman"/>
                <w:color w:val="auto"/>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2329" w:type="dxa"/>
            <w:vAlign w:val="center"/>
          </w:tcPr>
          <w:p>
            <w:pPr>
              <w:spacing w:before="50"/>
              <w:jc w:val="center"/>
              <w:rPr>
                <w:rFonts w:ascii="仿宋_GB2312" w:hAnsi="宋体" w:eastAsia="仿宋_GB2312" w:cs="Times New Roman"/>
                <w:color w:val="auto"/>
                <w:szCs w:val="21"/>
              </w:rPr>
            </w:pPr>
            <w:r>
              <w:rPr>
                <w:rFonts w:hint="eastAsia" w:ascii="仿宋_GB2312" w:hAnsi="宋体" w:eastAsia="仿宋_GB2312" w:cs="Times New Roman"/>
                <w:color w:val="auto"/>
                <w:szCs w:val="21"/>
              </w:rPr>
              <w:t>G</w:t>
            </w:r>
            <w:r>
              <w:rPr>
                <w:rFonts w:ascii="仿宋_GB2312" w:hAnsi="宋体" w:eastAsia="仿宋_GB2312" w:cs="Times New Roman"/>
                <w:color w:val="auto"/>
                <w:szCs w:val="21"/>
              </w:rPr>
              <w:t>B/T 1345-2005</w:t>
            </w:r>
          </w:p>
        </w:tc>
        <w:tc>
          <w:tcPr>
            <w:tcW w:w="3377" w:type="dxa"/>
            <w:vAlign w:val="center"/>
          </w:tcPr>
          <w:p>
            <w:pPr>
              <w:snapToGrid w:val="0"/>
              <w:jc w:val="center"/>
              <w:rPr>
                <w:rFonts w:ascii="仿宋_GB2312" w:hAnsi="宋体" w:eastAsia="仿宋_GB2312" w:cs="Times New Roman"/>
                <w:color w:val="auto"/>
                <w:szCs w:val="21"/>
              </w:rPr>
            </w:pPr>
            <w:r>
              <w:rPr>
                <w:rFonts w:hint="eastAsia" w:ascii="仿宋_GB2312" w:hAnsi="宋体" w:eastAsia="仿宋_GB2312" w:cs="Times New Roman"/>
                <w:color w:val="auto"/>
                <w:szCs w:val="21"/>
              </w:rPr>
              <w:t>水泥细度检验方法 筛析法</w:t>
            </w:r>
          </w:p>
        </w:tc>
        <w:tc>
          <w:tcPr>
            <w:tcW w:w="2526" w:type="dxa"/>
            <w:vAlign w:val="center"/>
          </w:tcPr>
          <w:p>
            <w:pPr>
              <w:snapToGrid w:val="0"/>
              <w:jc w:val="center"/>
              <w:rPr>
                <w:rFonts w:ascii="仿宋_GB2312" w:hAnsi="宋体" w:eastAsia="仿宋_GB2312" w:cs="Times New Roman"/>
                <w:color w:val="auto"/>
                <w:szCs w:val="21"/>
              </w:rPr>
            </w:pPr>
            <w:r>
              <w:rPr>
                <w:rFonts w:hint="eastAsia" w:ascii="仿宋_GB2312" w:hAnsi="宋体" w:eastAsia="仿宋_GB2312" w:cs="Times New Roman"/>
                <w:color w:val="auto"/>
                <w:szCs w:val="21"/>
              </w:rPr>
              <w:sym w:font="Wingdings 2" w:char="F052"/>
            </w:r>
            <w:r>
              <w:rPr>
                <w:rFonts w:hint="eastAsia" w:ascii="仿宋_GB2312" w:hAnsi="宋体" w:eastAsia="仿宋_GB2312" w:cs="Times New Roman"/>
                <w:color w:val="auto"/>
                <w:szCs w:val="21"/>
              </w:rPr>
              <w:t xml:space="preserve">CMA  </w:t>
            </w:r>
            <w:r>
              <w:rPr>
                <w:rFonts w:hint="eastAsia" w:ascii="仿宋_GB2312" w:hAnsi="宋体" w:eastAsia="仿宋_GB2312" w:cs="Times New Roman"/>
                <w:color w:val="auto"/>
                <w:szCs w:val="21"/>
              </w:rPr>
              <w:sym w:font="Wingdings 2" w:char="F052"/>
            </w:r>
            <w:r>
              <w:rPr>
                <w:rFonts w:hint="eastAsia" w:ascii="仿宋_GB2312" w:hAnsi="宋体" w:eastAsia="仿宋_GB2312" w:cs="Times New Roman"/>
                <w:color w:val="auto"/>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2329" w:type="dxa"/>
            <w:vAlign w:val="center"/>
          </w:tcPr>
          <w:p>
            <w:pPr>
              <w:spacing w:before="50"/>
              <w:jc w:val="center"/>
              <w:rPr>
                <w:rFonts w:ascii="仿宋_GB2312" w:hAnsi="宋体" w:eastAsia="仿宋_GB2312" w:cs="Times New Roman"/>
                <w:color w:val="auto"/>
                <w:szCs w:val="21"/>
              </w:rPr>
            </w:pPr>
            <w:r>
              <w:rPr>
                <w:rFonts w:hint="eastAsia" w:ascii="仿宋_GB2312" w:hAnsi="宋体" w:eastAsia="仿宋_GB2312" w:cs="Times New Roman"/>
                <w:color w:val="auto"/>
                <w:szCs w:val="21"/>
              </w:rPr>
              <w:t>GB 31893-2015</w:t>
            </w:r>
          </w:p>
        </w:tc>
        <w:tc>
          <w:tcPr>
            <w:tcW w:w="3377" w:type="dxa"/>
            <w:vAlign w:val="center"/>
          </w:tcPr>
          <w:p>
            <w:pPr>
              <w:snapToGrid w:val="0"/>
              <w:jc w:val="center"/>
              <w:rPr>
                <w:rFonts w:ascii="仿宋_GB2312" w:hAnsi="宋体" w:eastAsia="仿宋_GB2312" w:cs="Times New Roman"/>
                <w:color w:val="auto"/>
                <w:szCs w:val="21"/>
              </w:rPr>
            </w:pPr>
            <w:r>
              <w:rPr>
                <w:rFonts w:hint="eastAsia" w:ascii="仿宋_GB2312" w:hAnsi="宋体" w:eastAsia="仿宋_GB2312" w:cs="Times New Roman"/>
                <w:color w:val="auto"/>
                <w:szCs w:val="21"/>
              </w:rPr>
              <w:t>水泥中水溶性铬（Ⅵ）的限量及测定方法</w:t>
            </w:r>
          </w:p>
        </w:tc>
        <w:tc>
          <w:tcPr>
            <w:tcW w:w="2526" w:type="dxa"/>
            <w:vAlign w:val="center"/>
          </w:tcPr>
          <w:p>
            <w:pPr>
              <w:snapToGrid w:val="0"/>
              <w:jc w:val="center"/>
              <w:rPr>
                <w:rFonts w:ascii="仿宋_GB2312" w:hAnsi="宋体" w:eastAsia="仿宋_GB2312" w:cs="Times New Roman"/>
                <w:color w:val="auto"/>
                <w:szCs w:val="21"/>
              </w:rPr>
            </w:pPr>
            <w:r>
              <w:rPr>
                <w:rFonts w:hint="eastAsia" w:ascii="仿宋_GB2312" w:hAnsi="宋体" w:eastAsia="仿宋_GB2312" w:cs="Times New Roman"/>
                <w:color w:val="auto"/>
                <w:szCs w:val="21"/>
              </w:rPr>
              <w:sym w:font="Wingdings 2" w:char="F052"/>
            </w:r>
            <w:r>
              <w:rPr>
                <w:rFonts w:hint="eastAsia" w:ascii="仿宋_GB2312" w:hAnsi="宋体" w:eastAsia="仿宋_GB2312" w:cs="Times New Roman"/>
                <w:color w:val="auto"/>
                <w:szCs w:val="21"/>
              </w:rPr>
              <w:t xml:space="preserve">CMA  </w:t>
            </w:r>
            <w:r>
              <w:rPr>
                <w:rFonts w:hint="eastAsia" w:ascii="仿宋_GB2312" w:hAnsi="宋体" w:eastAsia="仿宋_GB2312" w:cs="Times New Roman"/>
                <w:color w:val="auto"/>
                <w:szCs w:val="21"/>
              </w:rPr>
              <w:sym w:font="Wingdings 2" w:char="F052"/>
            </w:r>
            <w:r>
              <w:rPr>
                <w:rFonts w:hint="eastAsia" w:ascii="仿宋_GB2312" w:hAnsi="宋体" w:eastAsia="仿宋_GB2312" w:cs="Times New Roman"/>
                <w:color w:val="auto"/>
                <w:szCs w:val="21"/>
              </w:rPr>
              <w:t>CNAS</w:t>
            </w:r>
          </w:p>
        </w:tc>
      </w:tr>
    </w:tbl>
    <w:p>
      <w:pPr>
        <w:snapToGrid w:val="0"/>
        <w:spacing w:line="360" w:lineRule="auto"/>
        <w:ind w:firstLine="537" w:firstLineChars="192"/>
        <w:jc w:val="left"/>
        <w:rPr>
          <w:rFonts w:ascii="仿宋_GB2312" w:hAnsi="宋体" w:eastAsia="仿宋_GB2312" w:cs="Times New Roman"/>
          <w:color w:val="auto"/>
          <w:sz w:val="28"/>
          <w:szCs w:val="28"/>
        </w:rPr>
      </w:pPr>
      <w:r>
        <w:rPr>
          <w:rFonts w:hint="eastAsia" w:ascii="仿宋_GB2312" w:hAnsi="宋体" w:eastAsia="仿宋_GB2312" w:cs="Times New Roman"/>
          <w:color w:val="auto"/>
          <w:sz w:val="28"/>
          <w:szCs w:val="28"/>
        </w:rPr>
        <w:t>除上述标准外</w:t>
      </w:r>
      <w:r>
        <w:rPr>
          <w:rFonts w:ascii="仿宋_GB2312" w:hAnsi="宋体" w:eastAsia="仿宋_GB2312" w:cs="Times New Roman"/>
          <w:color w:val="auto"/>
          <w:sz w:val="28"/>
          <w:szCs w:val="28"/>
        </w:rPr>
        <w:t>，还包括</w:t>
      </w:r>
      <w:r>
        <w:rPr>
          <w:rFonts w:hint="eastAsia" w:ascii="仿宋_GB2312" w:hAnsi="宋体" w:eastAsia="仿宋_GB2312" w:cs="Times New Roman"/>
          <w:color w:val="auto"/>
          <w:sz w:val="28"/>
          <w:szCs w:val="28"/>
        </w:rPr>
        <w:t>政府法规及产品的明示标准（包括备案的企业标准）和明示担保内容。</w:t>
      </w:r>
    </w:p>
    <w:p>
      <w:pPr>
        <w:snapToGrid w:val="0"/>
        <w:spacing w:line="360" w:lineRule="auto"/>
        <w:ind w:firstLine="537" w:firstLineChars="192"/>
        <w:jc w:val="left"/>
        <w:rPr>
          <w:rFonts w:ascii="仿宋_GB2312" w:hAnsi="宋体" w:eastAsia="仿宋_GB2312" w:cs="Times New Roman"/>
          <w:color w:val="auto"/>
          <w:sz w:val="28"/>
          <w:szCs w:val="28"/>
        </w:rPr>
      </w:pPr>
      <w:r>
        <w:rPr>
          <w:rFonts w:hint="eastAsia" w:ascii="仿宋_GB2312" w:hAnsi="宋体" w:eastAsia="仿宋_GB2312" w:cs="Times New Roman"/>
          <w:color w:val="auto"/>
          <w:sz w:val="28"/>
          <w:szCs w:val="28"/>
        </w:rPr>
        <w:t>凡是注日期的文件，其随后所有的修改单（不包括勘误的内容）或修订版不适用于本细则，凡是不注日期的文件，其最新版本适用于本细则。</w:t>
      </w:r>
    </w:p>
    <w:p>
      <w:pPr>
        <w:snapToGrid w:val="0"/>
        <w:spacing w:line="360" w:lineRule="auto"/>
        <w:jc w:val="left"/>
        <w:rPr>
          <w:rFonts w:ascii="仿宋_GB2312" w:hAnsi="宋体" w:eastAsia="仿宋_GB2312" w:cs="Times New Roman"/>
          <w:b/>
          <w:color w:val="auto"/>
          <w:sz w:val="28"/>
          <w:szCs w:val="28"/>
        </w:rPr>
      </w:pPr>
    </w:p>
    <w:p>
      <w:pPr>
        <w:snapToGrid w:val="0"/>
        <w:spacing w:line="360" w:lineRule="auto"/>
        <w:jc w:val="left"/>
        <w:rPr>
          <w:rFonts w:ascii="仿宋_GB2312" w:hAnsi="宋体" w:eastAsia="仿宋_GB2312" w:cs="Times New Roman"/>
          <w:b/>
          <w:color w:val="auto"/>
          <w:sz w:val="28"/>
          <w:szCs w:val="28"/>
        </w:rPr>
      </w:pPr>
      <w:r>
        <w:rPr>
          <w:rFonts w:ascii="仿宋_GB2312" w:hAnsi="宋体" w:eastAsia="仿宋_GB2312" w:cs="Times New Roman"/>
          <w:b/>
          <w:color w:val="auto"/>
          <w:sz w:val="28"/>
          <w:szCs w:val="28"/>
        </w:rPr>
        <w:t>5</w:t>
      </w:r>
      <w:r>
        <w:rPr>
          <w:rFonts w:hint="eastAsia" w:ascii="仿宋_GB2312" w:hAnsi="宋体" w:eastAsia="仿宋_GB2312" w:cs="Times New Roman"/>
          <w:b/>
          <w:color w:val="auto"/>
          <w:sz w:val="28"/>
          <w:szCs w:val="28"/>
        </w:rPr>
        <w:t>.抽样</w:t>
      </w:r>
    </w:p>
    <w:p>
      <w:pPr>
        <w:snapToGrid w:val="0"/>
        <w:spacing w:line="360" w:lineRule="auto"/>
        <w:jc w:val="left"/>
        <w:rPr>
          <w:rFonts w:ascii="仿宋_GB2312" w:hAnsi="宋体" w:eastAsia="仿宋_GB2312" w:cs="Times New Roman"/>
          <w:b/>
          <w:color w:val="auto"/>
          <w:sz w:val="28"/>
          <w:szCs w:val="28"/>
        </w:rPr>
      </w:pPr>
      <w:r>
        <w:rPr>
          <w:rFonts w:ascii="仿宋_GB2312" w:hAnsi="宋体" w:eastAsia="仿宋_GB2312" w:cs="Times New Roman"/>
          <w:b/>
          <w:color w:val="auto"/>
          <w:sz w:val="28"/>
          <w:szCs w:val="28"/>
        </w:rPr>
        <w:t>5</w:t>
      </w:r>
      <w:r>
        <w:rPr>
          <w:rFonts w:hint="eastAsia" w:ascii="仿宋_GB2312" w:hAnsi="宋体" w:eastAsia="仿宋_GB2312" w:cs="Times New Roman"/>
          <w:b/>
          <w:color w:val="auto"/>
          <w:sz w:val="28"/>
          <w:szCs w:val="28"/>
        </w:rPr>
        <w:t>.1抽样型号或规格</w:t>
      </w:r>
    </w:p>
    <w:p>
      <w:pPr>
        <w:adjustRightInd w:val="0"/>
        <w:snapToGrid w:val="0"/>
        <w:spacing w:line="360" w:lineRule="auto"/>
        <w:ind w:firstLine="560" w:firstLineChars="200"/>
        <w:rPr>
          <w:rFonts w:ascii="仿宋_GB2312" w:hAnsi="宋体" w:eastAsia="仿宋_GB2312" w:cs="Times New Roman"/>
          <w:color w:val="auto"/>
          <w:sz w:val="28"/>
          <w:szCs w:val="28"/>
        </w:rPr>
      </w:pPr>
      <w:r>
        <w:rPr>
          <w:rFonts w:hint="eastAsia" w:ascii="仿宋_GB2312" w:hAnsi="宋体" w:eastAsia="仿宋_GB2312" w:cs="Times New Roman"/>
          <w:color w:val="auto"/>
          <w:sz w:val="28"/>
          <w:szCs w:val="28"/>
        </w:rPr>
        <w:t>抽取样品应为同一品种和强度等级、同一批次的产品。抽取同一企业的不同品种水泥产品。</w:t>
      </w:r>
    </w:p>
    <w:p>
      <w:pPr>
        <w:snapToGrid w:val="0"/>
        <w:spacing w:line="360" w:lineRule="auto"/>
        <w:jc w:val="left"/>
        <w:rPr>
          <w:rFonts w:ascii="仿宋_GB2312" w:hAnsi="宋体" w:eastAsia="仿宋_GB2312" w:cs="Times New Roman"/>
          <w:b/>
          <w:color w:val="auto"/>
          <w:sz w:val="28"/>
          <w:szCs w:val="28"/>
        </w:rPr>
      </w:pPr>
      <w:r>
        <w:rPr>
          <w:rFonts w:ascii="仿宋_GB2312" w:hAnsi="宋体" w:eastAsia="仿宋_GB2312" w:cs="Times New Roman"/>
          <w:b/>
          <w:color w:val="auto"/>
          <w:sz w:val="28"/>
          <w:szCs w:val="28"/>
        </w:rPr>
        <w:t>5</w:t>
      </w:r>
      <w:r>
        <w:rPr>
          <w:rFonts w:hint="eastAsia" w:ascii="仿宋_GB2312" w:hAnsi="宋体" w:eastAsia="仿宋_GB2312" w:cs="Times New Roman"/>
          <w:b/>
          <w:color w:val="auto"/>
          <w:sz w:val="28"/>
          <w:szCs w:val="28"/>
        </w:rPr>
        <w:t>.2抽样方法</w:t>
      </w:r>
    </w:p>
    <w:p>
      <w:pPr>
        <w:adjustRightInd w:val="0"/>
        <w:snapToGrid w:val="0"/>
        <w:spacing w:line="360" w:lineRule="auto"/>
        <w:ind w:firstLine="560" w:firstLineChars="200"/>
        <w:rPr>
          <w:rFonts w:ascii="仿宋_GB2312" w:hAnsi="宋体" w:eastAsia="仿宋_GB2312" w:cs="Times New Roman"/>
          <w:color w:val="auto"/>
          <w:sz w:val="28"/>
          <w:szCs w:val="28"/>
        </w:rPr>
      </w:pPr>
      <w:r>
        <w:rPr>
          <w:rFonts w:hint="eastAsia" w:ascii="仿宋_GB2312" w:hAnsi="宋体" w:eastAsia="仿宋_GB2312" w:cs="Times New Roman"/>
          <w:color w:val="auto"/>
          <w:sz w:val="28"/>
          <w:szCs w:val="28"/>
        </w:rPr>
        <w:t>在企业的成品库内、生产线末端或市场待销产品中，随机抽取有产品质量合格证明或者以任何方式表明合格的近期生产的产品。</w:t>
      </w:r>
    </w:p>
    <w:p>
      <w:pPr>
        <w:snapToGrid w:val="0"/>
        <w:spacing w:line="360" w:lineRule="auto"/>
        <w:jc w:val="left"/>
        <w:rPr>
          <w:rFonts w:ascii="仿宋_GB2312" w:hAnsi="宋体" w:eastAsia="仿宋_GB2312" w:cs="Times New Roman"/>
          <w:b/>
          <w:color w:val="auto"/>
          <w:sz w:val="28"/>
          <w:szCs w:val="28"/>
        </w:rPr>
      </w:pPr>
      <w:r>
        <w:rPr>
          <w:rFonts w:hint="eastAsia" w:ascii="仿宋_GB2312" w:hAnsi="宋体" w:eastAsia="仿宋_GB2312" w:cs="Times New Roman"/>
          <w:b/>
          <w:color w:val="auto"/>
          <w:sz w:val="28"/>
          <w:szCs w:val="28"/>
        </w:rPr>
        <w:t>5</w:t>
      </w:r>
      <w:r>
        <w:rPr>
          <w:rFonts w:ascii="仿宋_GB2312" w:hAnsi="宋体" w:eastAsia="仿宋_GB2312" w:cs="Times New Roman"/>
          <w:b/>
          <w:color w:val="auto"/>
          <w:sz w:val="28"/>
          <w:szCs w:val="28"/>
        </w:rPr>
        <w:t>.3</w:t>
      </w:r>
      <w:r>
        <w:rPr>
          <w:rFonts w:hint="eastAsia" w:ascii="仿宋_GB2312" w:hAnsi="宋体" w:eastAsia="仿宋_GB2312" w:cs="Times New Roman"/>
          <w:b/>
          <w:color w:val="auto"/>
          <w:sz w:val="28"/>
          <w:szCs w:val="28"/>
        </w:rPr>
        <w:t>抽样基数</w:t>
      </w:r>
    </w:p>
    <w:p>
      <w:pPr>
        <w:adjustRightInd w:val="0"/>
        <w:snapToGrid w:val="0"/>
        <w:spacing w:line="360" w:lineRule="auto"/>
        <w:ind w:firstLine="560" w:firstLineChars="200"/>
        <w:rPr>
          <w:rFonts w:ascii="仿宋_GB2312" w:hAnsi="宋体" w:eastAsia="仿宋_GB2312" w:cs="Times New Roman"/>
          <w:color w:val="auto"/>
          <w:sz w:val="28"/>
          <w:szCs w:val="28"/>
        </w:rPr>
      </w:pPr>
      <w:r>
        <w:rPr>
          <w:rFonts w:hint="eastAsia" w:ascii="仿宋_GB2312" w:hAnsi="宋体" w:eastAsia="仿宋_GB2312" w:cs="Times New Roman"/>
          <w:color w:val="auto"/>
          <w:sz w:val="28"/>
          <w:szCs w:val="28"/>
        </w:rPr>
        <w:t>抽取已通知出厂的袋装水泥或散装水泥（以出厂通知单为准），抽样基数满足抽样数量即可。</w:t>
      </w:r>
    </w:p>
    <w:p>
      <w:pPr>
        <w:snapToGrid w:val="0"/>
        <w:spacing w:line="360" w:lineRule="auto"/>
        <w:jc w:val="left"/>
        <w:rPr>
          <w:rFonts w:ascii="仿宋_GB2312" w:hAnsi="宋体" w:eastAsia="仿宋_GB2312" w:cs="Times New Roman"/>
          <w:b/>
          <w:color w:val="auto"/>
          <w:sz w:val="28"/>
          <w:szCs w:val="28"/>
        </w:rPr>
      </w:pPr>
      <w:r>
        <w:rPr>
          <w:rFonts w:hint="eastAsia" w:ascii="仿宋_GB2312" w:hAnsi="宋体" w:eastAsia="仿宋_GB2312" w:cs="Times New Roman"/>
          <w:b/>
          <w:color w:val="auto"/>
          <w:sz w:val="28"/>
          <w:szCs w:val="28"/>
        </w:rPr>
        <w:t>5</w:t>
      </w:r>
      <w:r>
        <w:rPr>
          <w:rFonts w:ascii="仿宋_GB2312" w:hAnsi="宋体" w:eastAsia="仿宋_GB2312" w:cs="Times New Roman"/>
          <w:b/>
          <w:color w:val="auto"/>
          <w:sz w:val="28"/>
          <w:szCs w:val="28"/>
        </w:rPr>
        <w:t>.4</w:t>
      </w:r>
      <w:r>
        <w:rPr>
          <w:rFonts w:hint="eastAsia" w:ascii="仿宋_GB2312" w:hAnsi="宋体" w:eastAsia="仿宋_GB2312" w:cs="Times New Roman"/>
          <w:b/>
          <w:color w:val="auto"/>
          <w:sz w:val="28"/>
          <w:szCs w:val="28"/>
        </w:rPr>
        <w:t>抽样数量</w:t>
      </w:r>
    </w:p>
    <w:tbl>
      <w:tblPr>
        <w:tblStyle w:val="5"/>
        <w:tblW w:w="94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1757"/>
        <w:gridCol w:w="2960"/>
        <w:gridCol w:w="2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40" w:type="dxa"/>
            <w:vMerge w:val="restart"/>
            <w:vAlign w:val="center"/>
          </w:tcPr>
          <w:p>
            <w:pPr>
              <w:snapToGrid w:val="0"/>
              <w:jc w:val="center"/>
              <w:rPr>
                <w:rFonts w:ascii="黑体" w:hAnsi="黑体" w:eastAsia="黑体" w:cs="Times New Roman"/>
                <w:color w:val="auto"/>
                <w:szCs w:val="21"/>
              </w:rPr>
            </w:pPr>
            <w:r>
              <w:rPr>
                <w:rFonts w:hint="eastAsia" w:ascii="黑体" w:hAnsi="黑体" w:eastAsia="黑体" w:cs="Times New Roman"/>
                <w:color w:val="auto"/>
                <w:szCs w:val="21"/>
              </w:rPr>
              <w:t>测试项目名称</w:t>
            </w:r>
          </w:p>
        </w:tc>
        <w:tc>
          <w:tcPr>
            <w:tcW w:w="1757" w:type="dxa"/>
            <w:vMerge w:val="restart"/>
            <w:vAlign w:val="center"/>
          </w:tcPr>
          <w:p>
            <w:pPr>
              <w:snapToGrid w:val="0"/>
              <w:jc w:val="center"/>
              <w:rPr>
                <w:rFonts w:ascii="黑体" w:hAnsi="黑体" w:eastAsia="黑体" w:cs="Times New Roman"/>
                <w:color w:val="auto"/>
                <w:szCs w:val="21"/>
              </w:rPr>
            </w:pPr>
            <w:r>
              <w:rPr>
                <w:rFonts w:hint="eastAsia" w:ascii="黑体" w:hAnsi="黑体" w:eastAsia="黑体" w:cs="Times New Roman"/>
                <w:color w:val="auto"/>
                <w:szCs w:val="21"/>
              </w:rPr>
              <w:t>依据标准</w:t>
            </w:r>
          </w:p>
        </w:tc>
        <w:tc>
          <w:tcPr>
            <w:tcW w:w="5369" w:type="dxa"/>
            <w:gridSpan w:val="2"/>
            <w:vAlign w:val="center"/>
          </w:tcPr>
          <w:p>
            <w:pPr>
              <w:snapToGrid w:val="0"/>
              <w:jc w:val="center"/>
              <w:rPr>
                <w:rFonts w:ascii="黑体" w:hAnsi="黑体" w:eastAsia="黑体" w:cs="Times New Roman"/>
                <w:color w:val="auto"/>
                <w:szCs w:val="21"/>
              </w:rPr>
            </w:pPr>
            <w:r>
              <w:rPr>
                <w:rFonts w:hint="eastAsia" w:ascii="黑体" w:hAnsi="黑体" w:eastAsia="黑体" w:cs="Times New Roman"/>
                <w:color w:val="auto"/>
                <w:szCs w:val="21"/>
              </w:rPr>
              <w:t>抽样数量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40" w:type="dxa"/>
            <w:vMerge w:val="continue"/>
            <w:vAlign w:val="center"/>
          </w:tcPr>
          <w:p>
            <w:pPr>
              <w:snapToGrid w:val="0"/>
              <w:jc w:val="center"/>
              <w:rPr>
                <w:rFonts w:ascii="黑体" w:hAnsi="黑体" w:eastAsia="黑体" w:cs="Times New Roman"/>
                <w:color w:val="auto"/>
                <w:szCs w:val="21"/>
              </w:rPr>
            </w:pPr>
          </w:p>
        </w:tc>
        <w:tc>
          <w:tcPr>
            <w:tcW w:w="1757" w:type="dxa"/>
            <w:vMerge w:val="continue"/>
            <w:vAlign w:val="center"/>
          </w:tcPr>
          <w:p>
            <w:pPr>
              <w:snapToGrid w:val="0"/>
              <w:jc w:val="center"/>
              <w:rPr>
                <w:rFonts w:ascii="黑体" w:hAnsi="黑体" w:eastAsia="黑体" w:cs="Times New Roman"/>
                <w:color w:val="auto"/>
                <w:szCs w:val="21"/>
              </w:rPr>
            </w:pPr>
          </w:p>
        </w:tc>
        <w:tc>
          <w:tcPr>
            <w:tcW w:w="2960" w:type="dxa"/>
            <w:vAlign w:val="center"/>
          </w:tcPr>
          <w:p>
            <w:pPr>
              <w:snapToGrid w:val="0"/>
              <w:jc w:val="center"/>
              <w:rPr>
                <w:rFonts w:ascii="黑体" w:hAnsi="黑体" w:eastAsia="黑体" w:cs="Times New Roman"/>
                <w:color w:val="auto"/>
                <w:szCs w:val="21"/>
              </w:rPr>
            </w:pPr>
            <w:r>
              <w:rPr>
                <w:rFonts w:hint="eastAsia" w:ascii="黑体" w:hAnsi="黑体" w:eastAsia="黑体" w:cs="Times New Roman"/>
                <w:color w:val="auto"/>
                <w:szCs w:val="21"/>
              </w:rPr>
              <w:t>生产领域</w:t>
            </w:r>
          </w:p>
        </w:tc>
        <w:tc>
          <w:tcPr>
            <w:tcW w:w="2409" w:type="dxa"/>
            <w:vAlign w:val="center"/>
          </w:tcPr>
          <w:p>
            <w:pPr>
              <w:snapToGrid w:val="0"/>
              <w:jc w:val="center"/>
              <w:rPr>
                <w:rFonts w:ascii="黑体" w:hAnsi="黑体" w:eastAsia="黑体" w:cs="Times New Roman"/>
                <w:color w:val="auto"/>
                <w:szCs w:val="21"/>
              </w:rPr>
            </w:pPr>
            <w:r>
              <w:rPr>
                <w:rFonts w:hint="eastAsia" w:ascii="黑体" w:hAnsi="黑体" w:eastAsia="黑体" w:cs="Times New Roman"/>
                <w:color w:val="auto"/>
                <w:szCs w:val="21"/>
              </w:rPr>
              <w:t>流通领域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40" w:type="dxa"/>
            <w:vAlign w:val="center"/>
          </w:tcPr>
          <w:p>
            <w:pPr>
              <w:snapToGrid w:val="0"/>
              <w:spacing w:line="500" w:lineRule="exact"/>
              <w:jc w:val="center"/>
              <w:rPr>
                <w:rFonts w:ascii="仿宋_GB2312" w:hAnsi="宋体" w:eastAsia="仿宋_GB2312" w:cs="Times New Roman"/>
                <w:color w:val="auto"/>
                <w:szCs w:val="21"/>
              </w:rPr>
            </w:pPr>
            <w:r>
              <w:rPr>
                <w:rFonts w:hint="eastAsia" w:ascii="仿宋_GB2312" w:hAnsi="宋体" w:eastAsia="仿宋_GB2312" w:cs="Times New Roman"/>
                <w:color w:val="auto"/>
                <w:szCs w:val="21"/>
              </w:rPr>
              <w:t>不溶物</w:t>
            </w:r>
          </w:p>
        </w:tc>
        <w:tc>
          <w:tcPr>
            <w:tcW w:w="1757" w:type="dxa"/>
            <w:vMerge w:val="restart"/>
            <w:vAlign w:val="center"/>
          </w:tcPr>
          <w:p>
            <w:pPr>
              <w:snapToGrid w:val="0"/>
              <w:spacing w:line="500" w:lineRule="exact"/>
              <w:jc w:val="left"/>
              <w:rPr>
                <w:rFonts w:ascii="仿宋_GB2312" w:hAnsi="宋体" w:eastAsia="仿宋_GB2312" w:cs="Times New Roman"/>
                <w:color w:val="auto"/>
                <w:szCs w:val="21"/>
              </w:rPr>
            </w:pPr>
            <w:r>
              <w:rPr>
                <w:rFonts w:hint="eastAsia" w:ascii="仿宋_GB2312" w:hAnsi="宋体" w:eastAsia="仿宋_GB2312" w:cs="Times New Roman"/>
                <w:color w:val="auto"/>
                <w:szCs w:val="21"/>
              </w:rPr>
              <w:t>GB 175-2007</w:t>
            </w:r>
          </w:p>
        </w:tc>
        <w:tc>
          <w:tcPr>
            <w:tcW w:w="2960" w:type="dxa"/>
            <w:vMerge w:val="restart"/>
            <w:vAlign w:val="center"/>
          </w:tcPr>
          <w:p>
            <w:pPr>
              <w:snapToGrid w:val="0"/>
              <w:jc w:val="left"/>
              <w:rPr>
                <w:rFonts w:ascii="仿宋_GB2312" w:hAnsi="宋体" w:eastAsia="仿宋_GB2312" w:cs="Times New Roman"/>
                <w:color w:val="auto"/>
                <w:szCs w:val="21"/>
              </w:rPr>
            </w:pPr>
            <w:r>
              <w:rPr>
                <w:rFonts w:hint="eastAsia" w:ascii="仿宋_GB2312" w:hAnsi="宋体" w:eastAsia="仿宋_GB2312" w:cs="Times New Roman"/>
                <w:color w:val="auto"/>
                <w:szCs w:val="21"/>
              </w:rPr>
              <w:t>从企业的栈台抽取。确定1个出厂编号的水泥，在该编号的水泥中随机从20包以上的袋装水泥中取等量样品，取样数量为12kg，缩分为二等分。</w:t>
            </w:r>
          </w:p>
        </w:tc>
        <w:tc>
          <w:tcPr>
            <w:tcW w:w="2409" w:type="dxa"/>
            <w:vMerge w:val="restart"/>
            <w:vAlign w:val="center"/>
          </w:tcPr>
          <w:p>
            <w:pPr>
              <w:snapToGrid w:val="0"/>
              <w:jc w:val="left"/>
              <w:rPr>
                <w:rFonts w:ascii="仿宋_GB2312" w:hAnsi="宋体" w:eastAsia="仿宋_GB2312" w:cs="Times New Roman"/>
                <w:color w:val="auto"/>
                <w:szCs w:val="21"/>
              </w:rPr>
            </w:pPr>
            <w:r>
              <w:rPr>
                <w:rFonts w:hint="eastAsia" w:ascii="仿宋_GB2312" w:hAnsi="宋体" w:eastAsia="仿宋_GB2312" w:cs="Times New Roman"/>
                <w:color w:val="auto"/>
                <w:szCs w:val="21"/>
              </w:rPr>
              <w:t>确定1个出厂编号的水泥，包装水泥则在该编号的水泥中随机购买一包，均匀取样，取样数量为12kg，缩分为二等分；散装水泥则用散装水泥取样器随机取样，取样数量为1</w:t>
            </w:r>
            <w:r>
              <w:rPr>
                <w:rFonts w:ascii="仿宋_GB2312" w:hAnsi="宋体" w:eastAsia="仿宋_GB2312" w:cs="Times New Roman"/>
                <w:color w:val="auto"/>
                <w:szCs w:val="21"/>
              </w:rPr>
              <w:t>2kg</w:t>
            </w:r>
            <w:r>
              <w:rPr>
                <w:rFonts w:hint="eastAsia" w:ascii="仿宋_GB2312" w:hAnsi="宋体" w:eastAsia="仿宋_GB2312" w:cs="Times New Roman"/>
                <w:color w:val="auto"/>
                <w:szCs w:val="21"/>
              </w:rPr>
              <w:t>，缩分为二等分。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40" w:type="dxa"/>
            <w:vAlign w:val="center"/>
          </w:tcPr>
          <w:p>
            <w:pPr>
              <w:spacing w:before="50" w:line="500" w:lineRule="exact"/>
              <w:jc w:val="center"/>
              <w:rPr>
                <w:rFonts w:ascii="仿宋_GB2312" w:hAnsi="宋体" w:eastAsia="仿宋_GB2312" w:cs="Times New Roman"/>
                <w:color w:val="auto"/>
                <w:szCs w:val="21"/>
              </w:rPr>
            </w:pPr>
            <w:r>
              <w:rPr>
                <w:rFonts w:hint="eastAsia" w:ascii="仿宋_GB2312" w:hAnsi="宋体" w:eastAsia="仿宋_GB2312" w:cs="Times New Roman"/>
                <w:color w:val="auto"/>
                <w:szCs w:val="21"/>
              </w:rPr>
              <w:t>烧失量</w:t>
            </w:r>
          </w:p>
        </w:tc>
        <w:tc>
          <w:tcPr>
            <w:tcW w:w="1757" w:type="dxa"/>
            <w:vMerge w:val="continue"/>
            <w:vAlign w:val="center"/>
          </w:tcPr>
          <w:p>
            <w:pPr>
              <w:spacing w:before="50" w:line="500" w:lineRule="exact"/>
              <w:jc w:val="center"/>
              <w:rPr>
                <w:rFonts w:ascii="仿宋_GB2312" w:hAnsi="宋体" w:eastAsia="仿宋_GB2312" w:cs="Times New Roman"/>
                <w:color w:val="auto"/>
                <w:szCs w:val="21"/>
              </w:rPr>
            </w:pPr>
          </w:p>
        </w:tc>
        <w:tc>
          <w:tcPr>
            <w:tcW w:w="2960" w:type="dxa"/>
            <w:vMerge w:val="continue"/>
            <w:vAlign w:val="center"/>
          </w:tcPr>
          <w:p>
            <w:pPr>
              <w:snapToGrid w:val="0"/>
              <w:jc w:val="left"/>
              <w:rPr>
                <w:rFonts w:ascii="仿宋_GB2312" w:hAnsi="宋体" w:eastAsia="仿宋_GB2312" w:cs="Times New Roman"/>
                <w:color w:val="auto"/>
                <w:szCs w:val="21"/>
              </w:rPr>
            </w:pPr>
          </w:p>
        </w:tc>
        <w:tc>
          <w:tcPr>
            <w:tcW w:w="2409" w:type="dxa"/>
            <w:vMerge w:val="continue"/>
          </w:tcPr>
          <w:p>
            <w:pPr>
              <w:spacing w:before="50"/>
              <w:jc w:val="center"/>
              <w:rPr>
                <w:rFonts w:ascii="仿宋_GB2312" w:hAnsi="宋体" w:eastAsia="仿宋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40" w:type="dxa"/>
            <w:vAlign w:val="center"/>
          </w:tcPr>
          <w:p>
            <w:pPr>
              <w:spacing w:before="50" w:line="500" w:lineRule="exact"/>
              <w:jc w:val="center"/>
              <w:rPr>
                <w:rFonts w:ascii="仿宋_GB2312" w:hAnsi="宋体" w:eastAsia="仿宋_GB2312" w:cs="Times New Roman"/>
                <w:color w:val="auto"/>
                <w:szCs w:val="21"/>
              </w:rPr>
            </w:pPr>
            <w:r>
              <w:rPr>
                <w:rFonts w:hint="eastAsia" w:ascii="仿宋_GB2312" w:hAnsi="宋体" w:eastAsia="仿宋_GB2312" w:cs="Times New Roman"/>
                <w:color w:val="auto"/>
                <w:szCs w:val="21"/>
              </w:rPr>
              <w:t>氧化镁</w:t>
            </w:r>
          </w:p>
        </w:tc>
        <w:tc>
          <w:tcPr>
            <w:tcW w:w="1757" w:type="dxa"/>
            <w:vMerge w:val="continue"/>
            <w:vAlign w:val="center"/>
          </w:tcPr>
          <w:p>
            <w:pPr>
              <w:spacing w:before="50" w:line="500" w:lineRule="exact"/>
              <w:jc w:val="center"/>
              <w:rPr>
                <w:rFonts w:ascii="仿宋_GB2312" w:hAnsi="宋体" w:eastAsia="仿宋_GB2312" w:cs="Times New Roman"/>
                <w:color w:val="auto"/>
                <w:szCs w:val="21"/>
              </w:rPr>
            </w:pPr>
          </w:p>
        </w:tc>
        <w:tc>
          <w:tcPr>
            <w:tcW w:w="2960" w:type="dxa"/>
            <w:vMerge w:val="continue"/>
            <w:vAlign w:val="center"/>
          </w:tcPr>
          <w:p>
            <w:pPr>
              <w:snapToGrid w:val="0"/>
              <w:jc w:val="left"/>
              <w:rPr>
                <w:rFonts w:ascii="仿宋_GB2312" w:hAnsi="宋体" w:eastAsia="仿宋_GB2312" w:cs="Times New Roman"/>
                <w:color w:val="auto"/>
                <w:szCs w:val="21"/>
              </w:rPr>
            </w:pPr>
          </w:p>
        </w:tc>
        <w:tc>
          <w:tcPr>
            <w:tcW w:w="2409" w:type="dxa"/>
            <w:vMerge w:val="continue"/>
          </w:tcPr>
          <w:p>
            <w:pPr>
              <w:spacing w:before="50"/>
              <w:jc w:val="center"/>
              <w:rPr>
                <w:rFonts w:ascii="仿宋_GB2312" w:hAnsi="宋体" w:eastAsia="仿宋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40" w:type="dxa"/>
            <w:vAlign w:val="center"/>
          </w:tcPr>
          <w:p>
            <w:pPr>
              <w:spacing w:before="50" w:line="500" w:lineRule="exact"/>
              <w:jc w:val="center"/>
              <w:rPr>
                <w:rFonts w:ascii="仿宋_GB2312" w:hAnsi="宋体" w:eastAsia="仿宋_GB2312" w:cs="Times New Roman"/>
                <w:color w:val="auto"/>
                <w:szCs w:val="21"/>
              </w:rPr>
            </w:pPr>
            <w:r>
              <w:rPr>
                <w:rFonts w:hint="eastAsia" w:ascii="仿宋_GB2312" w:hAnsi="宋体" w:eastAsia="仿宋_GB2312" w:cs="Times New Roman"/>
                <w:color w:val="auto"/>
                <w:szCs w:val="21"/>
              </w:rPr>
              <w:t>三氧化硫</w:t>
            </w:r>
          </w:p>
        </w:tc>
        <w:tc>
          <w:tcPr>
            <w:tcW w:w="1757" w:type="dxa"/>
            <w:vMerge w:val="continue"/>
            <w:vAlign w:val="center"/>
          </w:tcPr>
          <w:p>
            <w:pPr>
              <w:spacing w:before="50" w:line="500" w:lineRule="exact"/>
              <w:jc w:val="center"/>
              <w:rPr>
                <w:rFonts w:ascii="仿宋_GB2312" w:hAnsi="宋体" w:eastAsia="仿宋_GB2312" w:cs="Times New Roman"/>
                <w:color w:val="auto"/>
                <w:szCs w:val="21"/>
              </w:rPr>
            </w:pPr>
          </w:p>
        </w:tc>
        <w:tc>
          <w:tcPr>
            <w:tcW w:w="2960" w:type="dxa"/>
            <w:vMerge w:val="continue"/>
            <w:vAlign w:val="center"/>
          </w:tcPr>
          <w:p>
            <w:pPr>
              <w:snapToGrid w:val="0"/>
              <w:jc w:val="left"/>
              <w:rPr>
                <w:rFonts w:ascii="仿宋_GB2312" w:hAnsi="宋体" w:eastAsia="仿宋_GB2312" w:cs="Times New Roman"/>
                <w:color w:val="auto"/>
                <w:szCs w:val="21"/>
              </w:rPr>
            </w:pPr>
          </w:p>
        </w:tc>
        <w:tc>
          <w:tcPr>
            <w:tcW w:w="2409" w:type="dxa"/>
            <w:vMerge w:val="continue"/>
          </w:tcPr>
          <w:p>
            <w:pPr>
              <w:spacing w:before="50"/>
              <w:jc w:val="center"/>
              <w:rPr>
                <w:rFonts w:ascii="仿宋_GB2312" w:hAnsi="宋体" w:eastAsia="仿宋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40" w:type="dxa"/>
            <w:vAlign w:val="center"/>
          </w:tcPr>
          <w:p>
            <w:pPr>
              <w:spacing w:before="50" w:line="500" w:lineRule="exact"/>
              <w:jc w:val="center"/>
              <w:rPr>
                <w:rFonts w:ascii="仿宋_GB2312" w:hAnsi="宋体" w:eastAsia="仿宋_GB2312" w:cs="Times New Roman"/>
                <w:color w:val="auto"/>
                <w:szCs w:val="21"/>
              </w:rPr>
            </w:pPr>
            <w:r>
              <w:rPr>
                <w:rFonts w:hint="eastAsia" w:ascii="仿宋_GB2312" w:hAnsi="宋体" w:eastAsia="仿宋_GB2312" w:cs="Times New Roman"/>
                <w:color w:val="auto"/>
                <w:szCs w:val="21"/>
              </w:rPr>
              <w:t>氯离子</w:t>
            </w:r>
          </w:p>
        </w:tc>
        <w:tc>
          <w:tcPr>
            <w:tcW w:w="1757" w:type="dxa"/>
            <w:vMerge w:val="continue"/>
            <w:vAlign w:val="center"/>
          </w:tcPr>
          <w:p>
            <w:pPr>
              <w:spacing w:before="50" w:line="500" w:lineRule="exact"/>
              <w:jc w:val="center"/>
              <w:rPr>
                <w:rFonts w:ascii="仿宋_GB2312" w:hAnsi="宋体" w:eastAsia="仿宋_GB2312" w:cs="Times New Roman"/>
                <w:color w:val="auto"/>
                <w:szCs w:val="21"/>
              </w:rPr>
            </w:pPr>
          </w:p>
        </w:tc>
        <w:tc>
          <w:tcPr>
            <w:tcW w:w="2960" w:type="dxa"/>
            <w:vMerge w:val="continue"/>
            <w:vAlign w:val="center"/>
          </w:tcPr>
          <w:p>
            <w:pPr>
              <w:snapToGrid w:val="0"/>
              <w:jc w:val="left"/>
              <w:rPr>
                <w:rFonts w:ascii="仿宋_GB2312" w:hAnsi="宋体" w:eastAsia="仿宋_GB2312" w:cs="Times New Roman"/>
                <w:color w:val="auto"/>
                <w:szCs w:val="21"/>
              </w:rPr>
            </w:pPr>
          </w:p>
        </w:tc>
        <w:tc>
          <w:tcPr>
            <w:tcW w:w="2409" w:type="dxa"/>
            <w:vMerge w:val="continue"/>
          </w:tcPr>
          <w:p>
            <w:pPr>
              <w:spacing w:before="50"/>
              <w:jc w:val="center"/>
              <w:rPr>
                <w:rFonts w:ascii="仿宋_GB2312" w:hAnsi="宋体" w:eastAsia="仿宋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40" w:type="dxa"/>
            <w:vAlign w:val="center"/>
          </w:tcPr>
          <w:p>
            <w:pPr>
              <w:spacing w:before="50" w:line="500" w:lineRule="exact"/>
              <w:jc w:val="center"/>
              <w:rPr>
                <w:rFonts w:ascii="仿宋_GB2312" w:hAnsi="宋体" w:eastAsia="仿宋_GB2312" w:cs="Times New Roman"/>
                <w:color w:val="auto"/>
                <w:szCs w:val="21"/>
              </w:rPr>
            </w:pPr>
            <w:r>
              <w:rPr>
                <w:rFonts w:hint="eastAsia" w:ascii="仿宋_GB2312" w:hAnsi="宋体" w:eastAsia="仿宋_GB2312" w:cs="Times New Roman"/>
                <w:color w:val="auto"/>
                <w:szCs w:val="21"/>
              </w:rPr>
              <w:t>凝结时间</w:t>
            </w:r>
          </w:p>
        </w:tc>
        <w:tc>
          <w:tcPr>
            <w:tcW w:w="1757" w:type="dxa"/>
            <w:vMerge w:val="continue"/>
            <w:vAlign w:val="center"/>
          </w:tcPr>
          <w:p>
            <w:pPr>
              <w:spacing w:before="50" w:line="500" w:lineRule="exact"/>
              <w:jc w:val="center"/>
              <w:rPr>
                <w:rFonts w:ascii="仿宋_GB2312" w:hAnsi="宋体" w:eastAsia="仿宋_GB2312" w:cs="Times New Roman"/>
                <w:color w:val="auto"/>
                <w:szCs w:val="21"/>
              </w:rPr>
            </w:pPr>
          </w:p>
        </w:tc>
        <w:tc>
          <w:tcPr>
            <w:tcW w:w="2960" w:type="dxa"/>
            <w:vMerge w:val="continue"/>
            <w:vAlign w:val="center"/>
          </w:tcPr>
          <w:p>
            <w:pPr>
              <w:snapToGrid w:val="0"/>
              <w:jc w:val="left"/>
              <w:rPr>
                <w:rFonts w:ascii="仿宋_GB2312" w:hAnsi="宋体" w:eastAsia="仿宋_GB2312" w:cs="Times New Roman"/>
                <w:color w:val="auto"/>
                <w:szCs w:val="21"/>
              </w:rPr>
            </w:pPr>
          </w:p>
        </w:tc>
        <w:tc>
          <w:tcPr>
            <w:tcW w:w="2409" w:type="dxa"/>
            <w:vMerge w:val="continue"/>
            <w:vAlign w:val="center"/>
          </w:tcPr>
          <w:p>
            <w:pPr>
              <w:spacing w:before="50"/>
              <w:jc w:val="center"/>
              <w:rPr>
                <w:rFonts w:ascii="仿宋_GB2312" w:hAnsi="宋体" w:eastAsia="仿宋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40" w:type="dxa"/>
            <w:vAlign w:val="center"/>
          </w:tcPr>
          <w:p>
            <w:pPr>
              <w:spacing w:before="50" w:line="500" w:lineRule="exact"/>
              <w:jc w:val="center"/>
              <w:rPr>
                <w:rFonts w:ascii="仿宋_GB2312" w:hAnsi="宋体" w:eastAsia="仿宋_GB2312" w:cs="Times New Roman"/>
                <w:color w:val="auto"/>
                <w:szCs w:val="21"/>
              </w:rPr>
            </w:pPr>
            <w:r>
              <w:rPr>
                <w:rFonts w:hint="eastAsia" w:ascii="仿宋_GB2312" w:hAnsi="宋体" w:eastAsia="仿宋_GB2312" w:cs="Times New Roman"/>
                <w:color w:val="auto"/>
                <w:szCs w:val="21"/>
              </w:rPr>
              <w:t>安定性</w:t>
            </w:r>
          </w:p>
        </w:tc>
        <w:tc>
          <w:tcPr>
            <w:tcW w:w="1757" w:type="dxa"/>
            <w:vMerge w:val="continue"/>
            <w:vAlign w:val="center"/>
          </w:tcPr>
          <w:p>
            <w:pPr>
              <w:spacing w:before="50" w:line="500" w:lineRule="exact"/>
              <w:jc w:val="center"/>
              <w:rPr>
                <w:rFonts w:ascii="仿宋_GB2312" w:hAnsi="宋体" w:eastAsia="仿宋_GB2312" w:cs="Times New Roman"/>
                <w:color w:val="auto"/>
                <w:szCs w:val="21"/>
              </w:rPr>
            </w:pPr>
          </w:p>
        </w:tc>
        <w:tc>
          <w:tcPr>
            <w:tcW w:w="2960" w:type="dxa"/>
            <w:vMerge w:val="continue"/>
            <w:vAlign w:val="center"/>
          </w:tcPr>
          <w:p>
            <w:pPr>
              <w:snapToGrid w:val="0"/>
              <w:jc w:val="left"/>
              <w:rPr>
                <w:rFonts w:ascii="仿宋_GB2312" w:hAnsi="宋体" w:eastAsia="仿宋_GB2312" w:cs="Times New Roman"/>
                <w:color w:val="auto"/>
                <w:szCs w:val="21"/>
              </w:rPr>
            </w:pPr>
          </w:p>
        </w:tc>
        <w:tc>
          <w:tcPr>
            <w:tcW w:w="2409" w:type="dxa"/>
            <w:vMerge w:val="continue"/>
            <w:vAlign w:val="center"/>
          </w:tcPr>
          <w:p>
            <w:pPr>
              <w:spacing w:before="50"/>
              <w:jc w:val="center"/>
              <w:rPr>
                <w:rFonts w:ascii="仿宋_GB2312" w:hAnsi="宋体" w:eastAsia="仿宋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40" w:type="dxa"/>
            <w:vAlign w:val="center"/>
          </w:tcPr>
          <w:p>
            <w:pPr>
              <w:spacing w:before="50" w:line="500" w:lineRule="exact"/>
              <w:jc w:val="center"/>
              <w:rPr>
                <w:rFonts w:ascii="仿宋_GB2312" w:hAnsi="宋体" w:eastAsia="仿宋_GB2312" w:cs="Times New Roman"/>
                <w:color w:val="auto"/>
                <w:szCs w:val="21"/>
              </w:rPr>
            </w:pPr>
            <w:r>
              <w:rPr>
                <w:rFonts w:hint="eastAsia" w:ascii="仿宋_GB2312" w:hAnsi="宋体" w:eastAsia="仿宋_GB2312" w:cs="Times New Roman"/>
                <w:color w:val="auto"/>
                <w:szCs w:val="21"/>
              </w:rPr>
              <w:t>强度</w:t>
            </w:r>
          </w:p>
        </w:tc>
        <w:tc>
          <w:tcPr>
            <w:tcW w:w="1757" w:type="dxa"/>
            <w:vMerge w:val="continue"/>
            <w:vAlign w:val="center"/>
          </w:tcPr>
          <w:p>
            <w:pPr>
              <w:spacing w:before="50" w:line="500" w:lineRule="exact"/>
              <w:jc w:val="center"/>
              <w:rPr>
                <w:rFonts w:ascii="仿宋_GB2312" w:hAnsi="宋体" w:eastAsia="仿宋_GB2312" w:cs="Times New Roman"/>
                <w:color w:val="auto"/>
                <w:szCs w:val="21"/>
              </w:rPr>
            </w:pPr>
          </w:p>
        </w:tc>
        <w:tc>
          <w:tcPr>
            <w:tcW w:w="2960" w:type="dxa"/>
            <w:vMerge w:val="continue"/>
            <w:vAlign w:val="center"/>
          </w:tcPr>
          <w:p>
            <w:pPr>
              <w:snapToGrid w:val="0"/>
              <w:jc w:val="left"/>
              <w:rPr>
                <w:rFonts w:ascii="仿宋_GB2312" w:hAnsi="宋体" w:eastAsia="仿宋_GB2312" w:cs="Times New Roman"/>
                <w:color w:val="auto"/>
                <w:szCs w:val="21"/>
              </w:rPr>
            </w:pPr>
          </w:p>
        </w:tc>
        <w:tc>
          <w:tcPr>
            <w:tcW w:w="2409" w:type="dxa"/>
            <w:vMerge w:val="continue"/>
            <w:vAlign w:val="center"/>
          </w:tcPr>
          <w:p>
            <w:pPr>
              <w:spacing w:before="50"/>
              <w:jc w:val="center"/>
              <w:rPr>
                <w:rFonts w:ascii="仿宋_GB2312" w:hAnsi="宋体" w:eastAsia="仿宋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40" w:type="dxa"/>
            <w:vAlign w:val="center"/>
          </w:tcPr>
          <w:p>
            <w:pPr>
              <w:spacing w:before="50" w:line="500" w:lineRule="exact"/>
              <w:jc w:val="center"/>
              <w:rPr>
                <w:rFonts w:ascii="仿宋_GB2312" w:hAnsi="宋体" w:eastAsia="仿宋_GB2312" w:cs="Times New Roman"/>
                <w:color w:val="auto"/>
                <w:szCs w:val="21"/>
              </w:rPr>
            </w:pPr>
            <w:r>
              <w:rPr>
                <w:rFonts w:hint="eastAsia" w:ascii="仿宋_GB2312" w:hAnsi="宋体" w:eastAsia="仿宋_GB2312" w:cs="Times New Roman"/>
                <w:color w:val="auto"/>
                <w:szCs w:val="21"/>
              </w:rPr>
              <w:t>放射性</w:t>
            </w:r>
          </w:p>
        </w:tc>
        <w:tc>
          <w:tcPr>
            <w:tcW w:w="1757" w:type="dxa"/>
            <w:vAlign w:val="center"/>
          </w:tcPr>
          <w:p>
            <w:pPr>
              <w:spacing w:before="50" w:line="500" w:lineRule="exact"/>
              <w:jc w:val="center"/>
              <w:rPr>
                <w:rFonts w:ascii="仿宋_GB2312" w:hAnsi="宋体" w:eastAsia="仿宋_GB2312" w:cs="Times New Roman"/>
                <w:color w:val="auto"/>
                <w:szCs w:val="21"/>
              </w:rPr>
            </w:pPr>
            <w:r>
              <w:rPr>
                <w:rFonts w:hint="eastAsia" w:ascii="仿宋_GB2312" w:hAnsi="宋体" w:eastAsia="仿宋_GB2312" w:cs="Times New Roman"/>
                <w:color w:val="auto"/>
                <w:szCs w:val="21"/>
              </w:rPr>
              <w:t>GB 6566-2010</w:t>
            </w:r>
          </w:p>
        </w:tc>
        <w:tc>
          <w:tcPr>
            <w:tcW w:w="2960" w:type="dxa"/>
            <w:vMerge w:val="continue"/>
            <w:vAlign w:val="center"/>
          </w:tcPr>
          <w:p>
            <w:pPr>
              <w:snapToGrid w:val="0"/>
              <w:jc w:val="left"/>
              <w:rPr>
                <w:rFonts w:ascii="仿宋_GB2312" w:hAnsi="宋体" w:eastAsia="仿宋_GB2312" w:cs="Times New Roman"/>
                <w:color w:val="auto"/>
                <w:szCs w:val="21"/>
              </w:rPr>
            </w:pPr>
          </w:p>
        </w:tc>
        <w:tc>
          <w:tcPr>
            <w:tcW w:w="2409" w:type="dxa"/>
            <w:vMerge w:val="continue"/>
            <w:vAlign w:val="center"/>
          </w:tcPr>
          <w:p>
            <w:pPr>
              <w:spacing w:before="50"/>
              <w:jc w:val="center"/>
              <w:rPr>
                <w:rFonts w:ascii="仿宋_GB2312" w:hAnsi="宋体" w:eastAsia="仿宋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40" w:type="dxa"/>
            <w:vAlign w:val="center"/>
          </w:tcPr>
          <w:p>
            <w:pPr>
              <w:spacing w:before="50" w:line="500" w:lineRule="exact"/>
              <w:jc w:val="center"/>
              <w:rPr>
                <w:rFonts w:ascii="仿宋_GB2312" w:hAnsi="宋体" w:eastAsia="仿宋_GB2312" w:cs="Times New Roman"/>
                <w:color w:val="auto"/>
                <w:szCs w:val="21"/>
              </w:rPr>
            </w:pPr>
            <w:r>
              <w:rPr>
                <w:rFonts w:hint="eastAsia" w:ascii="仿宋_GB2312" w:hAnsi="宋体" w:eastAsia="仿宋_GB2312" w:cs="Times New Roman"/>
                <w:color w:val="auto"/>
                <w:szCs w:val="21"/>
              </w:rPr>
              <w:t>铬（Ⅵ）</w:t>
            </w:r>
          </w:p>
        </w:tc>
        <w:tc>
          <w:tcPr>
            <w:tcW w:w="1757" w:type="dxa"/>
            <w:vAlign w:val="center"/>
          </w:tcPr>
          <w:p>
            <w:pPr>
              <w:spacing w:before="50" w:line="500" w:lineRule="exact"/>
              <w:jc w:val="center"/>
              <w:rPr>
                <w:rFonts w:ascii="仿宋_GB2312" w:hAnsi="宋体" w:eastAsia="仿宋_GB2312" w:cs="Times New Roman"/>
                <w:color w:val="auto"/>
                <w:szCs w:val="21"/>
              </w:rPr>
            </w:pPr>
            <w:r>
              <w:rPr>
                <w:rFonts w:hint="eastAsia" w:ascii="仿宋_GB2312" w:hAnsi="宋体" w:eastAsia="仿宋_GB2312" w:cs="Times New Roman"/>
                <w:color w:val="auto"/>
                <w:szCs w:val="21"/>
              </w:rPr>
              <w:t>G</w:t>
            </w:r>
            <w:r>
              <w:rPr>
                <w:rFonts w:ascii="仿宋_GB2312" w:hAnsi="宋体" w:eastAsia="仿宋_GB2312" w:cs="Times New Roman"/>
                <w:color w:val="auto"/>
                <w:szCs w:val="21"/>
              </w:rPr>
              <w:t>B 31893-2015</w:t>
            </w:r>
          </w:p>
        </w:tc>
        <w:tc>
          <w:tcPr>
            <w:tcW w:w="2960" w:type="dxa"/>
            <w:vMerge w:val="continue"/>
            <w:vAlign w:val="center"/>
          </w:tcPr>
          <w:p>
            <w:pPr>
              <w:snapToGrid w:val="0"/>
              <w:jc w:val="left"/>
              <w:rPr>
                <w:rFonts w:ascii="仿宋_GB2312" w:hAnsi="宋体" w:eastAsia="仿宋_GB2312" w:cs="Times New Roman"/>
                <w:color w:val="auto"/>
                <w:szCs w:val="21"/>
              </w:rPr>
            </w:pPr>
          </w:p>
        </w:tc>
        <w:tc>
          <w:tcPr>
            <w:tcW w:w="2409" w:type="dxa"/>
            <w:vMerge w:val="continue"/>
            <w:vAlign w:val="center"/>
          </w:tcPr>
          <w:p>
            <w:pPr>
              <w:spacing w:before="50"/>
              <w:jc w:val="center"/>
              <w:rPr>
                <w:rFonts w:ascii="仿宋_GB2312" w:hAnsi="宋体" w:eastAsia="仿宋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40" w:type="dxa"/>
            <w:vAlign w:val="center"/>
          </w:tcPr>
          <w:p>
            <w:pPr>
              <w:spacing w:before="50" w:line="500" w:lineRule="exact"/>
              <w:jc w:val="center"/>
              <w:rPr>
                <w:rFonts w:ascii="仿宋_GB2312" w:hAnsi="宋体" w:eastAsia="仿宋_GB2312" w:cs="Times New Roman"/>
                <w:color w:val="auto"/>
                <w:szCs w:val="21"/>
              </w:rPr>
            </w:pPr>
            <w:r>
              <w:rPr>
                <w:rFonts w:ascii="仿宋_GB2312" w:hAnsi="宋体" w:eastAsia="仿宋_GB2312" w:cs="Times New Roman"/>
                <w:color w:val="auto"/>
                <w:szCs w:val="21"/>
              </w:rPr>
              <w:t>白度（白水泥）</w:t>
            </w:r>
          </w:p>
        </w:tc>
        <w:tc>
          <w:tcPr>
            <w:tcW w:w="1757" w:type="dxa"/>
            <w:vAlign w:val="center"/>
          </w:tcPr>
          <w:p>
            <w:pPr>
              <w:spacing w:before="50" w:line="500" w:lineRule="exact"/>
              <w:jc w:val="center"/>
              <w:rPr>
                <w:rFonts w:ascii="仿宋_GB2312" w:hAnsi="宋体" w:eastAsia="仿宋_GB2312" w:cs="Times New Roman"/>
                <w:color w:val="auto"/>
                <w:szCs w:val="21"/>
              </w:rPr>
            </w:pPr>
            <w:r>
              <w:rPr>
                <w:rFonts w:hint="eastAsia" w:ascii="仿宋_GB2312" w:hAnsi="宋体" w:eastAsia="仿宋_GB2312" w:cs="Times New Roman"/>
                <w:color w:val="auto"/>
                <w:szCs w:val="21"/>
              </w:rPr>
              <w:t>G</w:t>
            </w:r>
            <w:r>
              <w:rPr>
                <w:rFonts w:ascii="仿宋_GB2312" w:hAnsi="宋体" w:eastAsia="仿宋_GB2312" w:cs="Times New Roman"/>
                <w:color w:val="auto"/>
                <w:szCs w:val="21"/>
              </w:rPr>
              <w:t>B/T 2015-2017</w:t>
            </w:r>
          </w:p>
        </w:tc>
        <w:tc>
          <w:tcPr>
            <w:tcW w:w="2960" w:type="dxa"/>
            <w:vMerge w:val="continue"/>
            <w:vAlign w:val="center"/>
          </w:tcPr>
          <w:p>
            <w:pPr>
              <w:snapToGrid w:val="0"/>
              <w:jc w:val="left"/>
              <w:rPr>
                <w:rFonts w:ascii="仿宋_GB2312" w:hAnsi="宋体" w:eastAsia="仿宋_GB2312" w:cs="Times New Roman"/>
                <w:color w:val="auto"/>
                <w:szCs w:val="21"/>
              </w:rPr>
            </w:pPr>
          </w:p>
        </w:tc>
        <w:tc>
          <w:tcPr>
            <w:tcW w:w="2409" w:type="dxa"/>
            <w:vMerge w:val="continue"/>
            <w:vAlign w:val="center"/>
          </w:tcPr>
          <w:p>
            <w:pPr>
              <w:spacing w:before="50"/>
              <w:jc w:val="center"/>
              <w:rPr>
                <w:rFonts w:ascii="仿宋_GB2312" w:hAnsi="宋体" w:eastAsia="仿宋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40" w:type="dxa"/>
            <w:vAlign w:val="center"/>
          </w:tcPr>
          <w:p>
            <w:pPr>
              <w:spacing w:before="50" w:line="500" w:lineRule="exact"/>
              <w:jc w:val="center"/>
              <w:rPr>
                <w:rFonts w:ascii="仿宋_GB2312" w:hAnsi="宋体" w:eastAsia="仿宋_GB2312" w:cs="Times New Roman"/>
                <w:color w:val="auto"/>
                <w:szCs w:val="21"/>
              </w:rPr>
            </w:pPr>
            <w:r>
              <w:rPr>
                <w:rFonts w:ascii="仿宋_GB2312" w:hAnsi="宋体" w:eastAsia="仿宋_GB2312" w:cs="Times New Roman"/>
                <w:color w:val="auto"/>
                <w:szCs w:val="21"/>
              </w:rPr>
              <w:t>细度（白水泥）</w:t>
            </w:r>
          </w:p>
        </w:tc>
        <w:tc>
          <w:tcPr>
            <w:tcW w:w="1757" w:type="dxa"/>
            <w:vAlign w:val="center"/>
          </w:tcPr>
          <w:p>
            <w:pPr>
              <w:spacing w:before="50" w:line="500" w:lineRule="exact"/>
              <w:jc w:val="center"/>
              <w:rPr>
                <w:rFonts w:ascii="仿宋_GB2312" w:hAnsi="宋体" w:eastAsia="仿宋_GB2312" w:cs="Times New Roman"/>
                <w:color w:val="auto"/>
                <w:szCs w:val="21"/>
              </w:rPr>
            </w:pPr>
            <w:r>
              <w:rPr>
                <w:rFonts w:hint="eastAsia" w:ascii="仿宋_GB2312" w:hAnsi="宋体" w:eastAsia="仿宋_GB2312" w:cs="Times New Roman"/>
                <w:color w:val="auto"/>
                <w:szCs w:val="21"/>
              </w:rPr>
              <w:t>G</w:t>
            </w:r>
            <w:r>
              <w:rPr>
                <w:rFonts w:ascii="仿宋_GB2312" w:hAnsi="宋体" w:eastAsia="仿宋_GB2312" w:cs="Times New Roman"/>
                <w:color w:val="auto"/>
                <w:szCs w:val="21"/>
              </w:rPr>
              <w:t>B/T 2015-2017</w:t>
            </w:r>
          </w:p>
        </w:tc>
        <w:tc>
          <w:tcPr>
            <w:tcW w:w="2960" w:type="dxa"/>
            <w:vMerge w:val="continue"/>
            <w:vAlign w:val="center"/>
          </w:tcPr>
          <w:p>
            <w:pPr>
              <w:snapToGrid w:val="0"/>
              <w:jc w:val="left"/>
              <w:rPr>
                <w:rFonts w:ascii="仿宋_GB2312" w:hAnsi="宋体" w:eastAsia="仿宋_GB2312" w:cs="Times New Roman"/>
                <w:color w:val="auto"/>
                <w:szCs w:val="21"/>
              </w:rPr>
            </w:pPr>
          </w:p>
        </w:tc>
        <w:tc>
          <w:tcPr>
            <w:tcW w:w="2409" w:type="dxa"/>
            <w:vMerge w:val="continue"/>
            <w:vAlign w:val="center"/>
          </w:tcPr>
          <w:p>
            <w:pPr>
              <w:spacing w:before="50"/>
              <w:jc w:val="center"/>
              <w:rPr>
                <w:rFonts w:ascii="仿宋_GB2312" w:hAnsi="宋体" w:eastAsia="仿宋_GB2312" w:cs="Times New Roman"/>
                <w:color w:val="auto"/>
                <w:szCs w:val="21"/>
              </w:rPr>
            </w:pPr>
          </w:p>
        </w:tc>
      </w:tr>
    </w:tbl>
    <w:p>
      <w:pPr>
        <w:snapToGrid w:val="0"/>
        <w:spacing w:line="360" w:lineRule="auto"/>
        <w:ind w:firstLine="560" w:firstLineChars="200"/>
        <w:jc w:val="left"/>
        <w:rPr>
          <w:rFonts w:ascii="仿宋_GB2312" w:hAnsi="宋体" w:eastAsia="仿宋_GB2312" w:cs="Times New Roman"/>
          <w:color w:val="auto"/>
          <w:sz w:val="28"/>
          <w:szCs w:val="28"/>
        </w:rPr>
      </w:pPr>
      <w:r>
        <w:rPr>
          <w:rFonts w:hint="eastAsia" w:ascii="仿宋_GB2312" w:hAnsi="宋体" w:eastAsia="仿宋_GB2312" w:cs="Times New Roman"/>
          <w:color w:val="auto"/>
          <w:sz w:val="28"/>
          <w:szCs w:val="28"/>
        </w:rPr>
        <w:t>生产领域检验样品和备样抽取后均封存于承检机构；流通领域（实体店）抽取后均封存于承检机构。</w:t>
      </w:r>
    </w:p>
    <w:p>
      <w:pPr>
        <w:adjustRightInd w:val="0"/>
        <w:snapToGrid w:val="0"/>
        <w:spacing w:line="360" w:lineRule="auto"/>
        <w:ind w:firstLine="560" w:firstLineChars="200"/>
        <w:rPr>
          <w:rFonts w:ascii="仿宋_GB2312" w:hAnsi="宋体" w:eastAsia="仿宋_GB2312" w:cs="Times New Roman"/>
          <w:color w:val="auto"/>
          <w:sz w:val="28"/>
          <w:szCs w:val="28"/>
        </w:rPr>
      </w:pPr>
    </w:p>
    <w:p>
      <w:pPr>
        <w:snapToGrid w:val="0"/>
        <w:spacing w:line="360" w:lineRule="auto"/>
        <w:jc w:val="left"/>
        <w:rPr>
          <w:rFonts w:ascii="仿宋_GB2312" w:hAnsi="宋体" w:eastAsia="仿宋_GB2312" w:cs="Times New Roman"/>
          <w:b/>
          <w:color w:val="auto"/>
          <w:sz w:val="28"/>
          <w:szCs w:val="28"/>
        </w:rPr>
      </w:pPr>
      <w:r>
        <w:rPr>
          <w:rFonts w:ascii="仿宋_GB2312" w:hAnsi="宋体" w:eastAsia="仿宋_GB2312" w:cs="Times New Roman"/>
          <w:b/>
          <w:color w:val="auto"/>
          <w:sz w:val="28"/>
          <w:szCs w:val="28"/>
        </w:rPr>
        <w:t>5.5</w:t>
      </w:r>
      <w:r>
        <w:rPr>
          <w:rFonts w:hint="eastAsia" w:ascii="仿宋_GB2312" w:hAnsi="宋体" w:eastAsia="仿宋_GB2312" w:cs="Times New Roman"/>
          <w:b/>
          <w:color w:val="auto"/>
          <w:sz w:val="28"/>
          <w:szCs w:val="28"/>
        </w:rPr>
        <w:t>样品处置</w:t>
      </w:r>
    </w:p>
    <w:p>
      <w:pPr>
        <w:adjustRightInd w:val="0"/>
        <w:snapToGrid w:val="0"/>
        <w:spacing w:line="360" w:lineRule="auto"/>
        <w:rPr>
          <w:rFonts w:ascii="仿宋_GB2312" w:hAnsi="宋体" w:eastAsia="仿宋_GB2312" w:cs="Times New Roman"/>
          <w:color w:val="auto"/>
          <w:sz w:val="28"/>
          <w:szCs w:val="28"/>
        </w:rPr>
      </w:pPr>
      <w:r>
        <w:rPr>
          <w:rFonts w:hint="eastAsia" w:ascii="仿宋_GB2312" w:hAnsi="宋体" w:eastAsia="仿宋_GB2312" w:cs="Times New Roman"/>
          <w:b/>
          <w:color w:val="auto"/>
          <w:sz w:val="28"/>
          <w:szCs w:val="28"/>
        </w:rPr>
        <w:t>5</w:t>
      </w:r>
      <w:r>
        <w:rPr>
          <w:rFonts w:ascii="仿宋_GB2312" w:hAnsi="宋体" w:eastAsia="仿宋_GB2312" w:cs="Times New Roman"/>
          <w:b/>
          <w:color w:val="auto"/>
          <w:sz w:val="28"/>
          <w:szCs w:val="28"/>
        </w:rPr>
        <w:t>.5.1</w:t>
      </w:r>
      <w:r>
        <w:rPr>
          <w:rFonts w:hint="eastAsia" w:ascii="仿宋_GB2312" w:hAnsi="宋体" w:eastAsia="仿宋_GB2312" w:cs="Times New Roman"/>
          <w:color w:val="auto"/>
          <w:sz w:val="28"/>
          <w:szCs w:val="28"/>
        </w:rPr>
        <w:t>将抽取的水泥样品全部用0.9mm方孔筛筛析，取其筛下物、充分混匀，缩分为二等份，一份为检验样品（约6kg</w:t>
      </w:r>
      <w:r>
        <w:rPr>
          <w:rFonts w:ascii="仿宋_GB2312" w:hAnsi="宋体" w:eastAsia="仿宋_GB2312" w:cs="Times New Roman"/>
          <w:color w:val="auto"/>
          <w:sz w:val="28"/>
          <w:szCs w:val="28"/>
        </w:rPr>
        <w:t>）</w:t>
      </w:r>
      <w:r>
        <w:rPr>
          <w:rFonts w:hint="eastAsia" w:ascii="仿宋_GB2312" w:hAnsi="宋体" w:eastAsia="仿宋_GB2312" w:cs="Times New Roman"/>
          <w:color w:val="auto"/>
          <w:sz w:val="28"/>
          <w:szCs w:val="28"/>
        </w:rPr>
        <w:t>，一份为备用样品（约6kg</w:t>
      </w:r>
      <w:r>
        <w:rPr>
          <w:rFonts w:ascii="仿宋_GB2312" w:hAnsi="宋体" w:eastAsia="仿宋_GB2312" w:cs="Times New Roman"/>
          <w:color w:val="auto"/>
          <w:sz w:val="28"/>
          <w:szCs w:val="28"/>
        </w:rPr>
        <w:t>）</w:t>
      </w:r>
      <w:r>
        <w:rPr>
          <w:rFonts w:hint="eastAsia" w:ascii="仿宋_GB2312" w:hAnsi="宋体" w:eastAsia="仿宋_GB2312" w:cs="Times New Roman"/>
          <w:color w:val="auto"/>
          <w:sz w:val="28"/>
          <w:szCs w:val="28"/>
        </w:rPr>
        <w:t>。</w:t>
      </w:r>
    </w:p>
    <w:p>
      <w:pPr>
        <w:adjustRightInd w:val="0"/>
        <w:snapToGrid w:val="0"/>
        <w:spacing w:line="360" w:lineRule="auto"/>
        <w:rPr>
          <w:rFonts w:ascii="仿宋_GB2312" w:hAnsi="宋体" w:eastAsia="仿宋_GB2312" w:cs="Times New Roman"/>
          <w:color w:val="auto"/>
          <w:sz w:val="28"/>
          <w:szCs w:val="28"/>
        </w:rPr>
      </w:pPr>
      <w:r>
        <w:rPr>
          <w:rFonts w:hint="eastAsia" w:ascii="仿宋_GB2312" w:hAnsi="宋体" w:eastAsia="仿宋_GB2312" w:cs="Times New Roman"/>
          <w:b/>
          <w:color w:val="auto"/>
          <w:sz w:val="28"/>
          <w:szCs w:val="28"/>
        </w:rPr>
        <w:t>5</w:t>
      </w:r>
      <w:r>
        <w:rPr>
          <w:rFonts w:ascii="仿宋_GB2312" w:hAnsi="宋体" w:eastAsia="仿宋_GB2312" w:cs="Times New Roman"/>
          <w:b/>
          <w:color w:val="auto"/>
          <w:sz w:val="28"/>
          <w:szCs w:val="28"/>
        </w:rPr>
        <w:t>.5.2</w:t>
      </w:r>
      <w:r>
        <w:rPr>
          <w:rFonts w:hint="eastAsia" w:ascii="仿宋_GB2312" w:hAnsi="宋体" w:eastAsia="仿宋_GB2312" w:cs="Times New Roman"/>
          <w:color w:val="auto"/>
          <w:sz w:val="28"/>
          <w:szCs w:val="28"/>
        </w:rPr>
        <w:t>检验样品和备用样品分别贮存在密闭的容器中，并加封条，容器应洁净、干燥、防潮、不易破损并且不影响水泥性能；或分别用两层聚乙烯塑料袋密封、包装好，外面用牛皮纸袋或编织袋包好加封条。</w:t>
      </w:r>
    </w:p>
    <w:p>
      <w:pPr>
        <w:adjustRightInd w:val="0"/>
        <w:snapToGrid w:val="0"/>
        <w:spacing w:line="360" w:lineRule="auto"/>
        <w:rPr>
          <w:rFonts w:ascii="仿宋_GB2312" w:hAnsi="宋体" w:eastAsia="仿宋_GB2312" w:cs="Times New Roman"/>
          <w:color w:val="auto"/>
          <w:sz w:val="28"/>
          <w:szCs w:val="28"/>
        </w:rPr>
      </w:pPr>
      <w:r>
        <w:rPr>
          <w:rFonts w:hint="eastAsia" w:ascii="仿宋_GB2312" w:hAnsi="宋体" w:eastAsia="仿宋_GB2312" w:cs="Times New Roman"/>
          <w:b/>
          <w:color w:val="auto"/>
          <w:sz w:val="28"/>
          <w:szCs w:val="28"/>
        </w:rPr>
        <w:t>5</w:t>
      </w:r>
      <w:r>
        <w:rPr>
          <w:rFonts w:ascii="仿宋_GB2312" w:hAnsi="宋体" w:eastAsia="仿宋_GB2312" w:cs="Times New Roman"/>
          <w:b/>
          <w:color w:val="auto"/>
          <w:sz w:val="28"/>
          <w:szCs w:val="28"/>
        </w:rPr>
        <w:t>.5.3</w:t>
      </w:r>
      <w:r>
        <w:rPr>
          <w:rFonts w:hint="eastAsia" w:ascii="仿宋_GB2312" w:eastAsia="仿宋_GB2312"/>
          <w:color w:val="auto"/>
          <w:sz w:val="28"/>
          <w:szCs w:val="28"/>
        </w:rPr>
        <w:t>样品由抽样人负责送至指定的检验机构相关部门，接收人负责检查、记录样品的外观、状态、封样单有无破损及其他可能对检测结果或者综合判定产生影响的情况，并确认样品与抽样单的记录是否相符。如有必要，也可由抽样人员要求受检单位在规定时间内送到指定的检验机构相关部门</w:t>
      </w:r>
      <w:r>
        <w:rPr>
          <w:rFonts w:hint="eastAsia" w:ascii="仿宋_GB2312" w:hAnsi="宋体" w:eastAsia="仿宋_GB2312" w:cs="Times New Roman"/>
          <w:color w:val="auto"/>
          <w:sz w:val="28"/>
          <w:szCs w:val="28"/>
        </w:rPr>
        <w:t>。备样存放在承检机构。</w:t>
      </w:r>
    </w:p>
    <w:p>
      <w:pPr>
        <w:adjustRightInd w:val="0"/>
        <w:snapToGrid w:val="0"/>
        <w:spacing w:line="360" w:lineRule="auto"/>
        <w:rPr>
          <w:rFonts w:ascii="仿宋_GB2312" w:hAnsi="宋体" w:eastAsia="仿宋_GB2312" w:cs="Times New Roman"/>
          <w:color w:val="auto"/>
          <w:sz w:val="28"/>
          <w:szCs w:val="28"/>
        </w:rPr>
      </w:pPr>
    </w:p>
    <w:p>
      <w:pPr>
        <w:snapToGrid w:val="0"/>
        <w:spacing w:line="360" w:lineRule="auto"/>
        <w:jc w:val="left"/>
        <w:rPr>
          <w:rFonts w:ascii="仿宋_GB2312" w:hAnsi="宋体" w:eastAsia="仿宋_GB2312" w:cs="Times New Roman"/>
          <w:b/>
          <w:color w:val="auto"/>
          <w:sz w:val="28"/>
          <w:szCs w:val="28"/>
        </w:rPr>
      </w:pPr>
      <w:r>
        <w:rPr>
          <w:rFonts w:ascii="仿宋_GB2312" w:hAnsi="宋体" w:eastAsia="仿宋_GB2312" w:cs="Times New Roman"/>
          <w:b/>
          <w:color w:val="auto"/>
          <w:sz w:val="28"/>
          <w:szCs w:val="28"/>
        </w:rPr>
        <w:t>5.6</w:t>
      </w:r>
      <w:r>
        <w:rPr>
          <w:rFonts w:hint="eastAsia" w:ascii="仿宋_GB2312" w:hAnsi="宋体" w:eastAsia="仿宋_GB2312" w:cs="Times New Roman"/>
          <w:b/>
          <w:color w:val="auto"/>
          <w:sz w:val="28"/>
          <w:szCs w:val="28"/>
        </w:rPr>
        <w:t>抽样单</w:t>
      </w:r>
    </w:p>
    <w:p>
      <w:pPr>
        <w:adjustRightInd w:val="0"/>
        <w:snapToGrid w:val="0"/>
        <w:spacing w:line="360" w:lineRule="auto"/>
        <w:ind w:firstLine="560" w:firstLineChars="200"/>
        <w:rPr>
          <w:rFonts w:ascii="仿宋_GB2312" w:hAnsi="宋体" w:eastAsia="仿宋_GB2312" w:cs="Times New Roman"/>
          <w:color w:val="auto"/>
          <w:sz w:val="28"/>
          <w:szCs w:val="28"/>
        </w:rPr>
      </w:pPr>
      <w:r>
        <w:rPr>
          <w:rFonts w:hint="eastAsia" w:ascii="仿宋_GB2312" w:hAnsi="宋体" w:eastAsia="仿宋_GB2312" w:cs="Times New Roman"/>
          <w:color w:val="auto"/>
          <w:sz w:val="28"/>
          <w:szCs w:val="28"/>
        </w:rPr>
        <w:t>应按有关规定填写抽样单，并记录被抽查产品及企业相关信息。</w:t>
      </w:r>
    </w:p>
    <w:p>
      <w:pPr>
        <w:snapToGrid w:val="0"/>
        <w:spacing w:line="360" w:lineRule="auto"/>
        <w:jc w:val="left"/>
        <w:rPr>
          <w:rFonts w:ascii="仿宋_GB2312" w:hAnsi="宋体" w:eastAsia="仿宋_GB2312" w:cs="Times New Roman"/>
          <w:b/>
          <w:color w:val="auto"/>
          <w:sz w:val="28"/>
          <w:szCs w:val="28"/>
        </w:rPr>
      </w:pPr>
    </w:p>
    <w:p>
      <w:pPr>
        <w:snapToGrid w:val="0"/>
        <w:spacing w:line="360" w:lineRule="auto"/>
        <w:jc w:val="left"/>
        <w:rPr>
          <w:rFonts w:ascii="仿宋_GB2312" w:hAnsi="宋体" w:eastAsia="仿宋_GB2312" w:cs="Times New Roman"/>
          <w:b/>
          <w:color w:val="auto"/>
          <w:sz w:val="28"/>
          <w:szCs w:val="28"/>
        </w:rPr>
      </w:pPr>
      <w:r>
        <w:rPr>
          <w:rFonts w:ascii="仿宋_GB2312" w:hAnsi="宋体" w:eastAsia="仿宋_GB2312" w:cs="Times New Roman"/>
          <w:b/>
          <w:color w:val="auto"/>
          <w:sz w:val="28"/>
          <w:szCs w:val="28"/>
        </w:rPr>
        <w:t>6</w:t>
      </w:r>
      <w:r>
        <w:rPr>
          <w:rFonts w:hint="eastAsia" w:ascii="仿宋_GB2312" w:hAnsi="宋体" w:eastAsia="仿宋_GB2312" w:cs="Times New Roman"/>
          <w:b/>
          <w:color w:val="auto"/>
          <w:sz w:val="28"/>
          <w:szCs w:val="28"/>
        </w:rPr>
        <w:t>.检验要求</w:t>
      </w:r>
    </w:p>
    <w:p>
      <w:pPr>
        <w:snapToGrid w:val="0"/>
        <w:spacing w:line="360" w:lineRule="auto"/>
        <w:jc w:val="left"/>
        <w:rPr>
          <w:rFonts w:ascii="仿宋_GB2312" w:hAnsi="宋体" w:eastAsia="仿宋_GB2312" w:cs="Times New Roman"/>
          <w:b/>
          <w:color w:val="auto"/>
          <w:sz w:val="28"/>
          <w:szCs w:val="28"/>
        </w:rPr>
      </w:pPr>
      <w:r>
        <w:rPr>
          <w:rFonts w:ascii="仿宋_GB2312" w:hAnsi="宋体" w:eastAsia="仿宋_GB2312" w:cs="Times New Roman"/>
          <w:b/>
          <w:color w:val="auto"/>
          <w:sz w:val="28"/>
          <w:szCs w:val="28"/>
        </w:rPr>
        <w:t>6</w:t>
      </w:r>
      <w:r>
        <w:rPr>
          <w:rFonts w:hint="eastAsia" w:ascii="仿宋_GB2312" w:hAnsi="宋体" w:eastAsia="仿宋_GB2312" w:cs="Times New Roman"/>
          <w:b/>
          <w:color w:val="auto"/>
          <w:sz w:val="28"/>
          <w:szCs w:val="28"/>
        </w:rPr>
        <w:t>.1检验项目</w:t>
      </w:r>
    </w:p>
    <w:p>
      <w:pPr>
        <w:snapToGrid w:val="0"/>
        <w:spacing w:line="360" w:lineRule="auto"/>
        <w:rPr>
          <w:rFonts w:ascii="仿宋_GB2312" w:hAnsi="宋体" w:eastAsia="仿宋_GB2312" w:cs="Times New Roman"/>
          <w:color w:val="auto"/>
          <w:sz w:val="28"/>
          <w:szCs w:val="28"/>
        </w:rPr>
      </w:pPr>
      <w:r>
        <w:rPr>
          <w:rFonts w:hint="eastAsia" w:ascii="仿宋_GB2312" w:hAnsi="宋体" w:eastAsia="仿宋_GB2312" w:cs="Times New Roman"/>
          <w:b/>
          <w:color w:val="auto"/>
          <w:sz w:val="28"/>
          <w:szCs w:val="28"/>
        </w:rPr>
        <w:t>6</w:t>
      </w:r>
      <w:r>
        <w:rPr>
          <w:rFonts w:ascii="仿宋_GB2312" w:hAnsi="宋体" w:eastAsia="仿宋_GB2312" w:cs="Times New Roman"/>
          <w:b/>
          <w:color w:val="auto"/>
          <w:sz w:val="28"/>
          <w:szCs w:val="28"/>
        </w:rPr>
        <w:t>.1.1</w:t>
      </w:r>
      <w:r>
        <w:rPr>
          <w:rFonts w:hint="eastAsia" w:ascii="仿宋_GB2312" w:hAnsi="宋体" w:eastAsia="仿宋_GB2312" w:cs="Times New Roman"/>
          <w:color w:val="auto"/>
          <w:sz w:val="28"/>
          <w:szCs w:val="28"/>
        </w:rPr>
        <w:t xml:space="preserve">通用硅酸盐水泥检验项目 </w:t>
      </w:r>
    </w:p>
    <w:tbl>
      <w:tblPr>
        <w:tblStyle w:val="5"/>
        <w:tblW w:w="89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1157"/>
        <w:gridCol w:w="2564"/>
        <w:gridCol w:w="1049"/>
        <w:gridCol w:w="2098"/>
        <w:gridCol w:w="1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blHeader/>
          <w:jc w:val="center"/>
        </w:trPr>
        <w:tc>
          <w:tcPr>
            <w:tcW w:w="669" w:type="dxa"/>
            <w:vAlign w:val="center"/>
          </w:tcPr>
          <w:p>
            <w:pPr>
              <w:snapToGrid w:val="0"/>
              <w:jc w:val="center"/>
              <w:rPr>
                <w:rFonts w:ascii="黑体" w:hAnsi="黑体" w:eastAsia="黑体" w:cs="Times New Roman"/>
                <w:color w:val="auto"/>
                <w:szCs w:val="21"/>
              </w:rPr>
            </w:pPr>
            <w:r>
              <w:rPr>
                <w:rFonts w:hint="eastAsia" w:ascii="黑体" w:hAnsi="黑体" w:eastAsia="黑体" w:cs="Times New Roman"/>
                <w:color w:val="auto"/>
                <w:szCs w:val="21"/>
              </w:rPr>
              <w:t>序号</w:t>
            </w:r>
          </w:p>
        </w:tc>
        <w:tc>
          <w:tcPr>
            <w:tcW w:w="1157" w:type="dxa"/>
            <w:vAlign w:val="center"/>
          </w:tcPr>
          <w:p>
            <w:pPr>
              <w:snapToGrid w:val="0"/>
              <w:jc w:val="center"/>
              <w:rPr>
                <w:rFonts w:ascii="黑体" w:hAnsi="黑体" w:eastAsia="黑体" w:cs="Times New Roman"/>
                <w:color w:val="auto"/>
                <w:szCs w:val="21"/>
              </w:rPr>
            </w:pPr>
            <w:r>
              <w:rPr>
                <w:rFonts w:hint="eastAsia" w:ascii="黑体" w:hAnsi="黑体" w:eastAsia="黑体" w:cs="Times New Roman"/>
                <w:color w:val="auto"/>
                <w:szCs w:val="21"/>
              </w:rPr>
              <w:t>检验项目</w:t>
            </w:r>
          </w:p>
        </w:tc>
        <w:tc>
          <w:tcPr>
            <w:tcW w:w="2564" w:type="dxa"/>
            <w:vAlign w:val="center"/>
          </w:tcPr>
          <w:p>
            <w:pPr>
              <w:snapToGrid w:val="0"/>
              <w:jc w:val="center"/>
              <w:rPr>
                <w:rFonts w:ascii="黑体" w:hAnsi="黑体" w:eastAsia="黑体" w:cs="Times New Roman"/>
                <w:color w:val="auto"/>
                <w:szCs w:val="21"/>
              </w:rPr>
            </w:pPr>
            <w:r>
              <w:rPr>
                <w:rFonts w:hint="eastAsia" w:ascii="黑体" w:hAnsi="黑体" w:eastAsia="黑体" w:cs="Times New Roman"/>
                <w:color w:val="auto"/>
                <w:szCs w:val="21"/>
              </w:rPr>
              <w:t>依据法律法规</w:t>
            </w:r>
          </w:p>
          <w:p>
            <w:pPr>
              <w:snapToGrid w:val="0"/>
              <w:jc w:val="center"/>
              <w:rPr>
                <w:rFonts w:ascii="黑体" w:hAnsi="黑体" w:eastAsia="黑体" w:cs="Times New Roman"/>
                <w:color w:val="auto"/>
                <w:szCs w:val="21"/>
              </w:rPr>
            </w:pPr>
            <w:r>
              <w:rPr>
                <w:rFonts w:hint="eastAsia" w:ascii="黑体" w:hAnsi="黑体" w:eastAsia="黑体" w:cs="Times New Roman"/>
                <w:color w:val="auto"/>
                <w:szCs w:val="21"/>
              </w:rPr>
              <w:t>或标准条款</w:t>
            </w:r>
          </w:p>
        </w:tc>
        <w:tc>
          <w:tcPr>
            <w:tcW w:w="1049" w:type="dxa"/>
            <w:vAlign w:val="center"/>
          </w:tcPr>
          <w:p>
            <w:pPr>
              <w:snapToGrid w:val="0"/>
              <w:jc w:val="center"/>
              <w:rPr>
                <w:rFonts w:ascii="黑体" w:hAnsi="黑体" w:eastAsia="黑体" w:cs="Times New Roman"/>
                <w:color w:val="auto"/>
                <w:szCs w:val="21"/>
              </w:rPr>
            </w:pPr>
            <w:r>
              <w:rPr>
                <w:rFonts w:hint="eastAsia" w:ascii="黑体" w:hAnsi="黑体" w:eastAsia="黑体" w:cs="Times New Roman"/>
                <w:color w:val="auto"/>
                <w:szCs w:val="21"/>
              </w:rPr>
              <w:t>强制性/推荐性</w:t>
            </w:r>
          </w:p>
        </w:tc>
        <w:tc>
          <w:tcPr>
            <w:tcW w:w="2098" w:type="dxa"/>
            <w:vAlign w:val="center"/>
          </w:tcPr>
          <w:p>
            <w:pPr>
              <w:snapToGrid w:val="0"/>
              <w:jc w:val="center"/>
              <w:rPr>
                <w:rFonts w:ascii="黑体" w:hAnsi="黑体" w:eastAsia="黑体" w:cs="Times New Roman"/>
                <w:color w:val="auto"/>
                <w:szCs w:val="21"/>
              </w:rPr>
            </w:pPr>
            <w:r>
              <w:rPr>
                <w:rFonts w:hint="eastAsia" w:ascii="黑体" w:hAnsi="黑体" w:eastAsia="黑体" w:cs="Times New Roman"/>
                <w:color w:val="auto"/>
                <w:szCs w:val="21"/>
              </w:rPr>
              <w:t>检测方法</w:t>
            </w:r>
          </w:p>
        </w:tc>
        <w:tc>
          <w:tcPr>
            <w:tcW w:w="1453" w:type="dxa"/>
            <w:vAlign w:val="center"/>
          </w:tcPr>
          <w:p>
            <w:pPr>
              <w:snapToGrid w:val="0"/>
              <w:jc w:val="center"/>
              <w:rPr>
                <w:rFonts w:ascii="黑体" w:hAnsi="黑体" w:eastAsia="黑体" w:cs="Times New Roman"/>
                <w:color w:val="auto"/>
                <w:szCs w:val="21"/>
              </w:rPr>
            </w:pPr>
            <w:r>
              <w:rPr>
                <w:rFonts w:hint="eastAsia" w:ascii="黑体" w:hAnsi="黑体" w:eastAsia="黑体" w:cs="Times New Roman"/>
                <w:color w:val="auto"/>
                <w:szCs w:val="21"/>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69" w:type="dxa"/>
            <w:vAlign w:val="center"/>
          </w:tcPr>
          <w:p>
            <w:pPr>
              <w:snapToGrid w:val="0"/>
              <w:jc w:val="center"/>
              <w:rPr>
                <w:rFonts w:ascii="黑体" w:hAnsi="黑体" w:eastAsia="黑体" w:cs="Times New Roman"/>
                <w:color w:val="auto"/>
                <w:szCs w:val="21"/>
              </w:rPr>
            </w:pPr>
            <w:r>
              <w:rPr>
                <w:rFonts w:hint="eastAsia" w:ascii="黑体" w:hAnsi="黑体" w:eastAsia="黑体" w:cs="Times New Roman"/>
                <w:color w:val="auto"/>
                <w:szCs w:val="21"/>
              </w:rPr>
              <w:t>1</w:t>
            </w:r>
          </w:p>
        </w:tc>
        <w:tc>
          <w:tcPr>
            <w:tcW w:w="1157" w:type="dxa"/>
            <w:vAlign w:val="center"/>
          </w:tcPr>
          <w:p>
            <w:pPr>
              <w:snapToGrid w:val="0"/>
              <w:jc w:val="center"/>
              <w:rPr>
                <w:rFonts w:ascii="黑体" w:hAnsi="黑体" w:eastAsia="黑体" w:cs="Times New Roman"/>
                <w:color w:val="auto"/>
                <w:szCs w:val="21"/>
              </w:rPr>
            </w:pPr>
            <w:r>
              <w:rPr>
                <w:rFonts w:hint="eastAsia" w:ascii="黑体" w:hAnsi="黑体" w:eastAsia="黑体" w:cs="Times New Roman"/>
                <w:color w:val="auto"/>
                <w:szCs w:val="21"/>
              </w:rPr>
              <w:t>三氧化硫</w:t>
            </w:r>
          </w:p>
        </w:tc>
        <w:tc>
          <w:tcPr>
            <w:tcW w:w="2564" w:type="dxa"/>
            <w:vAlign w:val="center"/>
          </w:tcPr>
          <w:p>
            <w:pPr>
              <w:snapToGrid w:val="0"/>
              <w:jc w:val="center"/>
              <w:rPr>
                <w:rFonts w:ascii="黑体" w:hAnsi="黑体" w:eastAsia="黑体" w:cs="Times New Roman"/>
                <w:color w:val="auto"/>
                <w:szCs w:val="21"/>
              </w:rPr>
            </w:pPr>
            <w:r>
              <w:rPr>
                <w:rFonts w:hint="eastAsia" w:ascii="黑体" w:hAnsi="黑体" w:eastAsia="黑体" w:cs="Times New Roman"/>
                <w:color w:val="auto"/>
                <w:szCs w:val="21"/>
              </w:rPr>
              <w:t>GB175-2007中7.1</w:t>
            </w:r>
          </w:p>
        </w:tc>
        <w:tc>
          <w:tcPr>
            <w:tcW w:w="1049" w:type="dxa"/>
            <w:vAlign w:val="center"/>
          </w:tcPr>
          <w:p>
            <w:pPr>
              <w:snapToGrid w:val="0"/>
              <w:jc w:val="center"/>
              <w:rPr>
                <w:rFonts w:ascii="黑体" w:hAnsi="黑体" w:eastAsia="黑体" w:cs="Times New Roman"/>
                <w:color w:val="auto"/>
                <w:szCs w:val="21"/>
              </w:rPr>
            </w:pPr>
            <w:r>
              <w:rPr>
                <w:rFonts w:hint="eastAsia" w:ascii="黑体" w:hAnsi="黑体" w:eastAsia="黑体" w:cs="Times New Roman"/>
                <w:color w:val="auto"/>
                <w:szCs w:val="21"/>
              </w:rPr>
              <w:t>强制性</w:t>
            </w:r>
          </w:p>
        </w:tc>
        <w:tc>
          <w:tcPr>
            <w:tcW w:w="2098" w:type="dxa"/>
            <w:vMerge w:val="restart"/>
            <w:vAlign w:val="center"/>
          </w:tcPr>
          <w:p>
            <w:pPr>
              <w:snapToGrid w:val="0"/>
              <w:jc w:val="center"/>
              <w:rPr>
                <w:rFonts w:ascii="黑体" w:hAnsi="黑体" w:eastAsia="黑体" w:cs="Times New Roman"/>
                <w:color w:val="auto"/>
                <w:szCs w:val="21"/>
              </w:rPr>
            </w:pPr>
            <w:r>
              <w:rPr>
                <w:rFonts w:hint="eastAsia" w:ascii="黑体" w:hAnsi="黑体" w:eastAsia="黑体" w:cs="Times New Roman"/>
                <w:color w:val="auto"/>
                <w:szCs w:val="21"/>
              </w:rPr>
              <w:t>GB/T176</w:t>
            </w:r>
            <w:r>
              <w:rPr>
                <w:rFonts w:ascii="黑体" w:hAnsi="黑体" w:eastAsia="黑体" w:cs="Times New Roman"/>
                <w:color w:val="auto"/>
                <w:szCs w:val="21"/>
              </w:rPr>
              <w:t>-2017</w:t>
            </w:r>
          </w:p>
        </w:tc>
        <w:tc>
          <w:tcPr>
            <w:tcW w:w="1453" w:type="dxa"/>
            <w:vAlign w:val="center"/>
          </w:tcPr>
          <w:p>
            <w:pPr>
              <w:snapToGrid w:val="0"/>
              <w:jc w:val="center"/>
              <w:rPr>
                <w:rFonts w:ascii="黑体" w:hAnsi="黑体" w:eastAsia="黑体" w:cs="Times New Roman"/>
                <w:color w:val="auto"/>
                <w:szCs w:val="21"/>
              </w:rPr>
            </w:pPr>
            <w:r>
              <w:rPr>
                <w:rFonts w:hint="eastAsia" w:ascii="黑体" w:hAnsi="黑体" w:eastAsia="黑体" w:cs="Times New Roman"/>
                <w:color w:val="auto"/>
                <w:szCs w:val="21"/>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69" w:type="dxa"/>
            <w:vAlign w:val="center"/>
          </w:tcPr>
          <w:p>
            <w:pPr>
              <w:snapToGrid w:val="0"/>
              <w:jc w:val="center"/>
              <w:rPr>
                <w:rFonts w:ascii="黑体" w:hAnsi="黑体" w:eastAsia="黑体" w:cs="Times New Roman"/>
                <w:color w:val="auto"/>
                <w:szCs w:val="21"/>
              </w:rPr>
            </w:pPr>
            <w:r>
              <w:rPr>
                <w:rFonts w:hint="eastAsia" w:ascii="黑体" w:hAnsi="黑体" w:eastAsia="黑体" w:cs="Times New Roman"/>
                <w:color w:val="auto"/>
                <w:szCs w:val="21"/>
              </w:rPr>
              <w:t>2</w:t>
            </w:r>
          </w:p>
        </w:tc>
        <w:tc>
          <w:tcPr>
            <w:tcW w:w="1157" w:type="dxa"/>
            <w:vAlign w:val="center"/>
          </w:tcPr>
          <w:p>
            <w:pPr>
              <w:snapToGrid w:val="0"/>
              <w:jc w:val="center"/>
              <w:rPr>
                <w:rFonts w:ascii="黑体" w:hAnsi="黑体" w:eastAsia="黑体" w:cs="Times New Roman"/>
                <w:color w:val="auto"/>
                <w:szCs w:val="21"/>
              </w:rPr>
            </w:pPr>
            <w:r>
              <w:rPr>
                <w:rFonts w:hint="eastAsia" w:ascii="黑体" w:hAnsi="黑体" w:eastAsia="黑体" w:cs="Times New Roman"/>
                <w:color w:val="auto"/>
                <w:szCs w:val="21"/>
              </w:rPr>
              <w:t>氧化镁</w:t>
            </w:r>
          </w:p>
        </w:tc>
        <w:tc>
          <w:tcPr>
            <w:tcW w:w="2564" w:type="dxa"/>
            <w:vAlign w:val="center"/>
          </w:tcPr>
          <w:p>
            <w:pPr>
              <w:snapToGrid w:val="0"/>
              <w:jc w:val="center"/>
              <w:rPr>
                <w:rFonts w:ascii="黑体" w:hAnsi="黑体" w:eastAsia="黑体" w:cs="Times New Roman"/>
                <w:color w:val="auto"/>
                <w:szCs w:val="21"/>
              </w:rPr>
            </w:pPr>
            <w:r>
              <w:rPr>
                <w:rFonts w:hint="eastAsia" w:ascii="黑体" w:hAnsi="黑体" w:eastAsia="黑体" w:cs="Times New Roman"/>
                <w:color w:val="auto"/>
                <w:szCs w:val="21"/>
              </w:rPr>
              <w:t>GB175-2007中7.1</w:t>
            </w:r>
          </w:p>
        </w:tc>
        <w:tc>
          <w:tcPr>
            <w:tcW w:w="1049" w:type="dxa"/>
            <w:vAlign w:val="center"/>
          </w:tcPr>
          <w:p>
            <w:pPr>
              <w:snapToGrid w:val="0"/>
              <w:jc w:val="center"/>
              <w:rPr>
                <w:rFonts w:ascii="黑体" w:hAnsi="黑体" w:eastAsia="黑体" w:cs="Times New Roman"/>
                <w:color w:val="auto"/>
                <w:szCs w:val="21"/>
              </w:rPr>
            </w:pPr>
            <w:r>
              <w:rPr>
                <w:rFonts w:hint="eastAsia" w:ascii="黑体" w:hAnsi="黑体" w:eastAsia="黑体" w:cs="Times New Roman"/>
                <w:color w:val="auto"/>
                <w:szCs w:val="21"/>
              </w:rPr>
              <w:t>强制性</w:t>
            </w:r>
          </w:p>
        </w:tc>
        <w:tc>
          <w:tcPr>
            <w:tcW w:w="2098" w:type="dxa"/>
            <w:vMerge w:val="continue"/>
            <w:vAlign w:val="center"/>
          </w:tcPr>
          <w:p>
            <w:pPr>
              <w:snapToGrid w:val="0"/>
              <w:jc w:val="center"/>
              <w:rPr>
                <w:rFonts w:ascii="黑体" w:hAnsi="黑体" w:eastAsia="黑体" w:cs="Times New Roman"/>
                <w:color w:val="auto"/>
                <w:szCs w:val="21"/>
              </w:rPr>
            </w:pPr>
          </w:p>
        </w:tc>
        <w:tc>
          <w:tcPr>
            <w:tcW w:w="1453" w:type="dxa"/>
            <w:vAlign w:val="center"/>
          </w:tcPr>
          <w:p>
            <w:pPr>
              <w:snapToGrid w:val="0"/>
              <w:jc w:val="center"/>
              <w:rPr>
                <w:rFonts w:ascii="黑体" w:hAnsi="黑体" w:eastAsia="黑体" w:cs="Times New Roman"/>
                <w:color w:val="auto"/>
                <w:szCs w:val="21"/>
              </w:rPr>
            </w:pPr>
            <w:r>
              <w:rPr>
                <w:rFonts w:hint="eastAsia" w:ascii="黑体" w:hAnsi="黑体" w:eastAsia="黑体" w:cs="Times New Roman"/>
                <w:color w:val="auto"/>
                <w:szCs w:val="21"/>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69" w:type="dxa"/>
            <w:vAlign w:val="center"/>
          </w:tcPr>
          <w:p>
            <w:pPr>
              <w:snapToGrid w:val="0"/>
              <w:jc w:val="center"/>
              <w:rPr>
                <w:rFonts w:ascii="黑体" w:hAnsi="黑体" w:eastAsia="黑体" w:cs="Times New Roman"/>
                <w:color w:val="auto"/>
                <w:szCs w:val="21"/>
              </w:rPr>
            </w:pPr>
            <w:r>
              <w:rPr>
                <w:rFonts w:hint="eastAsia" w:ascii="黑体" w:hAnsi="黑体" w:eastAsia="黑体" w:cs="Times New Roman"/>
                <w:color w:val="auto"/>
                <w:szCs w:val="21"/>
              </w:rPr>
              <w:t>3</w:t>
            </w:r>
          </w:p>
        </w:tc>
        <w:tc>
          <w:tcPr>
            <w:tcW w:w="1157" w:type="dxa"/>
            <w:vAlign w:val="center"/>
          </w:tcPr>
          <w:p>
            <w:pPr>
              <w:snapToGrid w:val="0"/>
              <w:jc w:val="center"/>
              <w:rPr>
                <w:rFonts w:ascii="黑体" w:hAnsi="黑体" w:eastAsia="黑体" w:cs="Times New Roman"/>
                <w:color w:val="auto"/>
                <w:szCs w:val="21"/>
              </w:rPr>
            </w:pPr>
            <w:r>
              <w:rPr>
                <w:rFonts w:hint="eastAsia" w:ascii="黑体" w:hAnsi="黑体" w:eastAsia="黑体" w:cs="Times New Roman"/>
                <w:color w:val="auto"/>
                <w:szCs w:val="21"/>
              </w:rPr>
              <w:t>烧失量</w:t>
            </w:r>
          </w:p>
        </w:tc>
        <w:tc>
          <w:tcPr>
            <w:tcW w:w="2564" w:type="dxa"/>
            <w:vAlign w:val="center"/>
          </w:tcPr>
          <w:p>
            <w:pPr>
              <w:snapToGrid w:val="0"/>
              <w:jc w:val="center"/>
              <w:rPr>
                <w:rFonts w:ascii="黑体" w:hAnsi="黑体" w:eastAsia="黑体" w:cs="Times New Roman"/>
                <w:color w:val="auto"/>
                <w:szCs w:val="21"/>
              </w:rPr>
            </w:pPr>
            <w:r>
              <w:rPr>
                <w:rFonts w:hint="eastAsia" w:ascii="黑体" w:hAnsi="黑体" w:eastAsia="黑体" w:cs="Times New Roman"/>
                <w:color w:val="auto"/>
                <w:szCs w:val="21"/>
              </w:rPr>
              <w:t>GB175-2007中7.1</w:t>
            </w:r>
          </w:p>
        </w:tc>
        <w:tc>
          <w:tcPr>
            <w:tcW w:w="1049" w:type="dxa"/>
            <w:vAlign w:val="center"/>
          </w:tcPr>
          <w:p>
            <w:pPr>
              <w:snapToGrid w:val="0"/>
              <w:jc w:val="center"/>
              <w:rPr>
                <w:rFonts w:ascii="黑体" w:hAnsi="黑体" w:eastAsia="黑体" w:cs="Times New Roman"/>
                <w:color w:val="auto"/>
                <w:szCs w:val="21"/>
              </w:rPr>
            </w:pPr>
            <w:r>
              <w:rPr>
                <w:rFonts w:hint="eastAsia" w:ascii="黑体" w:hAnsi="黑体" w:eastAsia="黑体" w:cs="Times New Roman"/>
                <w:color w:val="auto"/>
                <w:szCs w:val="21"/>
              </w:rPr>
              <w:t>强制性</w:t>
            </w:r>
          </w:p>
        </w:tc>
        <w:tc>
          <w:tcPr>
            <w:tcW w:w="2098" w:type="dxa"/>
            <w:vMerge w:val="continue"/>
            <w:vAlign w:val="center"/>
          </w:tcPr>
          <w:p>
            <w:pPr>
              <w:snapToGrid w:val="0"/>
              <w:jc w:val="center"/>
              <w:rPr>
                <w:rFonts w:ascii="黑体" w:hAnsi="黑体" w:eastAsia="黑体" w:cs="Times New Roman"/>
                <w:color w:val="auto"/>
                <w:szCs w:val="21"/>
              </w:rPr>
            </w:pPr>
          </w:p>
        </w:tc>
        <w:tc>
          <w:tcPr>
            <w:tcW w:w="1453" w:type="dxa"/>
            <w:vAlign w:val="center"/>
          </w:tcPr>
          <w:p>
            <w:pPr>
              <w:snapToGrid w:val="0"/>
              <w:jc w:val="center"/>
              <w:rPr>
                <w:rFonts w:ascii="黑体" w:hAnsi="黑体" w:eastAsia="黑体" w:cs="Times New Roman"/>
                <w:color w:val="auto"/>
                <w:szCs w:val="21"/>
              </w:rPr>
            </w:pPr>
            <w:r>
              <w:rPr>
                <w:rFonts w:hint="eastAsia" w:ascii="黑体" w:hAnsi="黑体" w:eastAsia="黑体" w:cs="Times New Roman"/>
                <w:color w:val="auto"/>
                <w:szCs w:val="21"/>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69" w:type="dxa"/>
            <w:vAlign w:val="center"/>
          </w:tcPr>
          <w:p>
            <w:pPr>
              <w:snapToGrid w:val="0"/>
              <w:jc w:val="center"/>
              <w:rPr>
                <w:rFonts w:ascii="黑体" w:hAnsi="黑体" w:eastAsia="黑体" w:cs="Times New Roman"/>
                <w:color w:val="auto"/>
                <w:szCs w:val="21"/>
              </w:rPr>
            </w:pPr>
            <w:r>
              <w:rPr>
                <w:rFonts w:hint="eastAsia" w:ascii="黑体" w:hAnsi="黑体" w:eastAsia="黑体" w:cs="Times New Roman"/>
                <w:color w:val="auto"/>
                <w:szCs w:val="21"/>
              </w:rPr>
              <w:t>4</w:t>
            </w:r>
          </w:p>
        </w:tc>
        <w:tc>
          <w:tcPr>
            <w:tcW w:w="1157" w:type="dxa"/>
            <w:vAlign w:val="center"/>
          </w:tcPr>
          <w:p>
            <w:pPr>
              <w:snapToGrid w:val="0"/>
              <w:jc w:val="center"/>
              <w:rPr>
                <w:rFonts w:ascii="黑体" w:hAnsi="黑体" w:eastAsia="黑体" w:cs="Times New Roman"/>
                <w:color w:val="auto"/>
                <w:szCs w:val="21"/>
              </w:rPr>
            </w:pPr>
            <w:r>
              <w:rPr>
                <w:rFonts w:hint="eastAsia" w:ascii="黑体" w:hAnsi="黑体" w:eastAsia="黑体" w:cs="Times New Roman"/>
                <w:color w:val="auto"/>
                <w:szCs w:val="21"/>
              </w:rPr>
              <w:t>不溶物</w:t>
            </w:r>
          </w:p>
        </w:tc>
        <w:tc>
          <w:tcPr>
            <w:tcW w:w="2564" w:type="dxa"/>
            <w:vAlign w:val="center"/>
          </w:tcPr>
          <w:p>
            <w:pPr>
              <w:snapToGrid w:val="0"/>
              <w:jc w:val="center"/>
              <w:rPr>
                <w:rFonts w:ascii="黑体" w:hAnsi="黑体" w:eastAsia="黑体" w:cs="Times New Roman"/>
                <w:color w:val="auto"/>
                <w:szCs w:val="21"/>
              </w:rPr>
            </w:pPr>
            <w:r>
              <w:rPr>
                <w:rFonts w:hint="eastAsia" w:ascii="黑体" w:hAnsi="黑体" w:eastAsia="黑体" w:cs="Times New Roman"/>
                <w:color w:val="auto"/>
                <w:szCs w:val="21"/>
              </w:rPr>
              <w:t>GB175-2007中7.1</w:t>
            </w:r>
          </w:p>
        </w:tc>
        <w:tc>
          <w:tcPr>
            <w:tcW w:w="1049" w:type="dxa"/>
            <w:vAlign w:val="center"/>
          </w:tcPr>
          <w:p>
            <w:pPr>
              <w:snapToGrid w:val="0"/>
              <w:jc w:val="center"/>
              <w:rPr>
                <w:rFonts w:ascii="黑体" w:hAnsi="黑体" w:eastAsia="黑体" w:cs="Times New Roman"/>
                <w:color w:val="auto"/>
                <w:szCs w:val="21"/>
              </w:rPr>
            </w:pPr>
            <w:r>
              <w:rPr>
                <w:rFonts w:hint="eastAsia" w:ascii="黑体" w:hAnsi="黑体" w:eastAsia="黑体" w:cs="Times New Roman"/>
                <w:color w:val="auto"/>
                <w:szCs w:val="21"/>
              </w:rPr>
              <w:t>强制性</w:t>
            </w:r>
          </w:p>
        </w:tc>
        <w:tc>
          <w:tcPr>
            <w:tcW w:w="2098" w:type="dxa"/>
            <w:vMerge w:val="continue"/>
            <w:vAlign w:val="center"/>
          </w:tcPr>
          <w:p>
            <w:pPr>
              <w:snapToGrid w:val="0"/>
              <w:jc w:val="center"/>
              <w:rPr>
                <w:rFonts w:ascii="黑体" w:hAnsi="黑体" w:eastAsia="黑体" w:cs="Times New Roman"/>
                <w:color w:val="auto"/>
                <w:szCs w:val="21"/>
              </w:rPr>
            </w:pPr>
          </w:p>
        </w:tc>
        <w:tc>
          <w:tcPr>
            <w:tcW w:w="1453" w:type="dxa"/>
            <w:vAlign w:val="center"/>
          </w:tcPr>
          <w:p>
            <w:pPr>
              <w:snapToGrid w:val="0"/>
              <w:jc w:val="center"/>
              <w:rPr>
                <w:rFonts w:ascii="黑体" w:hAnsi="黑体" w:eastAsia="黑体" w:cs="Times New Roman"/>
                <w:color w:val="auto"/>
                <w:szCs w:val="21"/>
              </w:rPr>
            </w:pPr>
            <w:r>
              <w:rPr>
                <w:rFonts w:hint="eastAsia" w:ascii="黑体" w:hAnsi="黑体" w:eastAsia="黑体" w:cs="Times New Roman"/>
                <w:color w:val="auto"/>
                <w:szCs w:val="21"/>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69" w:type="dxa"/>
            <w:vAlign w:val="center"/>
          </w:tcPr>
          <w:p>
            <w:pPr>
              <w:snapToGrid w:val="0"/>
              <w:jc w:val="center"/>
              <w:rPr>
                <w:rFonts w:ascii="黑体" w:hAnsi="黑体" w:eastAsia="黑体" w:cs="Times New Roman"/>
                <w:color w:val="auto"/>
                <w:szCs w:val="21"/>
              </w:rPr>
            </w:pPr>
            <w:r>
              <w:rPr>
                <w:rFonts w:hint="eastAsia" w:ascii="黑体" w:hAnsi="黑体" w:eastAsia="黑体" w:cs="Times New Roman"/>
                <w:color w:val="auto"/>
                <w:szCs w:val="21"/>
              </w:rPr>
              <w:t>5</w:t>
            </w:r>
          </w:p>
        </w:tc>
        <w:tc>
          <w:tcPr>
            <w:tcW w:w="1157" w:type="dxa"/>
            <w:vAlign w:val="center"/>
          </w:tcPr>
          <w:p>
            <w:pPr>
              <w:snapToGrid w:val="0"/>
              <w:jc w:val="center"/>
              <w:rPr>
                <w:rFonts w:ascii="黑体" w:hAnsi="黑体" w:eastAsia="黑体" w:cs="Times New Roman"/>
                <w:color w:val="auto"/>
                <w:szCs w:val="21"/>
              </w:rPr>
            </w:pPr>
            <w:r>
              <w:rPr>
                <w:rFonts w:hint="eastAsia" w:ascii="黑体" w:hAnsi="黑体" w:eastAsia="黑体" w:cs="Times New Roman"/>
                <w:color w:val="auto"/>
                <w:szCs w:val="21"/>
              </w:rPr>
              <w:t>氯离子</w:t>
            </w:r>
          </w:p>
        </w:tc>
        <w:tc>
          <w:tcPr>
            <w:tcW w:w="2564" w:type="dxa"/>
            <w:vAlign w:val="center"/>
          </w:tcPr>
          <w:p>
            <w:pPr>
              <w:snapToGrid w:val="0"/>
              <w:jc w:val="center"/>
              <w:rPr>
                <w:rFonts w:ascii="黑体" w:hAnsi="黑体" w:eastAsia="黑体" w:cs="Times New Roman"/>
                <w:color w:val="auto"/>
                <w:szCs w:val="21"/>
              </w:rPr>
            </w:pPr>
            <w:r>
              <w:rPr>
                <w:rFonts w:hint="eastAsia" w:ascii="黑体" w:hAnsi="黑体" w:eastAsia="黑体" w:cs="Times New Roman"/>
                <w:color w:val="auto"/>
                <w:szCs w:val="21"/>
              </w:rPr>
              <w:t>GB175-2007中7.1</w:t>
            </w:r>
          </w:p>
        </w:tc>
        <w:tc>
          <w:tcPr>
            <w:tcW w:w="1049" w:type="dxa"/>
            <w:vAlign w:val="center"/>
          </w:tcPr>
          <w:p>
            <w:pPr>
              <w:snapToGrid w:val="0"/>
              <w:jc w:val="center"/>
              <w:rPr>
                <w:rFonts w:ascii="黑体" w:hAnsi="黑体" w:eastAsia="黑体" w:cs="Times New Roman"/>
                <w:color w:val="auto"/>
                <w:szCs w:val="21"/>
              </w:rPr>
            </w:pPr>
            <w:r>
              <w:rPr>
                <w:rFonts w:hint="eastAsia" w:ascii="黑体" w:hAnsi="黑体" w:eastAsia="黑体" w:cs="Times New Roman"/>
                <w:color w:val="auto"/>
                <w:szCs w:val="21"/>
              </w:rPr>
              <w:t>强制性</w:t>
            </w:r>
          </w:p>
        </w:tc>
        <w:tc>
          <w:tcPr>
            <w:tcW w:w="2098" w:type="dxa"/>
            <w:vMerge w:val="continue"/>
            <w:vAlign w:val="center"/>
          </w:tcPr>
          <w:p>
            <w:pPr>
              <w:snapToGrid w:val="0"/>
              <w:jc w:val="center"/>
              <w:rPr>
                <w:rFonts w:ascii="黑体" w:hAnsi="黑体" w:eastAsia="黑体" w:cs="Times New Roman"/>
                <w:color w:val="auto"/>
                <w:szCs w:val="21"/>
              </w:rPr>
            </w:pPr>
          </w:p>
        </w:tc>
        <w:tc>
          <w:tcPr>
            <w:tcW w:w="1453" w:type="dxa"/>
            <w:vAlign w:val="center"/>
          </w:tcPr>
          <w:p>
            <w:pPr>
              <w:snapToGrid w:val="0"/>
              <w:jc w:val="center"/>
              <w:rPr>
                <w:rFonts w:ascii="黑体" w:hAnsi="黑体" w:eastAsia="黑体" w:cs="Times New Roman"/>
                <w:color w:val="auto"/>
                <w:szCs w:val="21"/>
              </w:rPr>
            </w:pPr>
            <w:r>
              <w:rPr>
                <w:rFonts w:hint="eastAsia" w:ascii="黑体" w:hAnsi="黑体" w:eastAsia="黑体" w:cs="Times New Roman"/>
                <w:color w:val="auto"/>
                <w:szCs w:val="21"/>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69" w:type="dxa"/>
            <w:vAlign w:val="center"/>
          </w:tcPr>
          <w:p>
            <w:pPr>
              <w:snapToGrid w:val="0"/>
              <w:jc w:val="center"/>
              <w:rPr>
                <w:rFonts w:ascii="黑体" w:hAnsi="黑体" w:eastAsia="黑体" w:cs="Times New Roman"/>
                <w:color w:val="auto"/>
                <w:szCs w:val="21"/>
              </w:rPr>
            </w:pPr>
            <w:r>
              <w:rPr>
                <w:rFonts w:hint="eastAsia" w:ascii="黑体" w:hAnsi="黑体" w:eastAsia="黑体" w:cs="Times New Roman"/>
                <w:color w:val="auto"/>
                <w:szCs w:val="21"/>
              </w:rPr>
              <w:t>6</w:t>
            </w:r>
          </w:p>
        </w:tc>
        <w:tc>
          <w:tcPr>
            <w:tcW w:w="1157" w:type="dxa"/>
            <w:vAlign w:val="center"/>
          </w:tcPr>
          <w:p>
            <w:pPr>
              <w:snapToGrid w:val="0"/>
              <w:jc w:val="center"/>
              <w:rPr>
                <w:rFonts w:ascii="黑体" w:hAnsi="黑体" w:eastAsia="黑体" w:cs="Times New Roman"/>
                <w:color w:val="auto"/>
                <w:szCs w:val="21"/>
              </w:rPr>
            </w:pPr>
            <w:r>
              <w:rPr>
                <w:rFonts w:hint="eastAsia" w:ascii="黑体" w:hAnsi="黑体" w:eastAsia="黑体" w:cs="Times New Roman"/>
                <w:color w:val="auto"/>
                <w:szCs w:val="21"/>
              </w:rPr>
              <w:t>凝结时间</w:t>
            </w:r>
          </w:p>
        </w:tc>
        <w:tc>
          <w:tcPr>
            <w:tcW w:w="2564" w:type="dxa"/>
            <w:vAlign w:val="center"/>
          </w:tcPr>
          <w:p>
            <w:pPr>
              <w:snapToGrid w:val="0"/>
              <w:jc w:val="center"/>
              <w:rPr>
                <w:rFonts w:ascii="黑体" w:hAnsi="黑体" w:eastAsia="黑体" w:cs="Times New Roman"/>
                <w:color w:val="auto"/>
                <w:szCs w:val="21"/>
              </w:rPr>
            </w:pPr>
            <w:r>
              <w:rPr>
                <w:rFonts w:hint="eastAsia" w:ascii="黑体" w:hAnsi="黑体" w:eastAsia="黑体" w:cs="Times New Roman"/>
                <w:color w:val="auto"/>
                <w:szCs w:val="21"/>
              </w:rPr>
              <w:t xml:space="preserve">GB175-2007中7.3 </w:t>
            </w:r>
          </w:p>
        </w:tc>
        <w:tc>
          <w:tcPr>
            <w:tcW w:w="1049" w:type="dxa"/>
            <w:vAlign w:val="center"/>
          </w:tcPr>
          <w:p>
            <w:pPr>
              <w:snapToGrid w:val="0"/>
              <w:jc w:val="center"/>
              <w:rPr>
                <w:rFonts w:ascii="黑体" w:hAnsi="黑体" w:eastAsia="黑体" w:cs="Times New Roman"/>
                <w:color w:val="auto"/>
                <w:szCs w:val="21"/>
              </w:rPr>
            </w:pPr>
            <w:r>
              <w:rPr>
                <w:rFonts w:hint="eastAsia" w:ascii="黑体" w:hAnsi="黑体" w:eastAsia="黑体" w:cs="Times New Roman"/>
                <w:color w:val="auto"/>
                <w:szCs w:val="21"/>
              </w:rPr>
              <w:t>强制性</w:t>
            </w:r>
          </w:p>
        </w:tc>
        <w:tc>
          <w:tcPr>
            <w:tcW w:w="2098" w:type="dxa"/>
            <w:vMerge w:val="restart"/>
            <w:vAlign w:val="center"/>
          </w:tcPr>
          <w:p>
            <w:pPr>
              <w:snapToGrid w:val="0"/>
              <w:jc w:val="center"/>
              <w:rPr>
                <w:rFonts w:ascii="黑体" w:hAnsi="黑体" w:eastAsia="黑体" w:cs="Times New Roman"/>
                <w:color w:val="auto"/>
                <w:szCs w:val="21"/>
              </w:rPr>
            </w:pPr>
            <w:r>
              <w:rPr>
                <w:rFonts w:hint="eastAsia" w:ascii="黑体" w:hAnsi="黑体" w:eastAsia="黑体" w:cs="Times New Roman"/>
                <w:color w:val="auto"/>
                <w:szCs w:val="21"/>
              </w:rPr>
              <w:t>GB/T1346-2011</w:t>
            </w:r>
          </w:p>
        </w:tc>
        <w:tc>
          <w:tcPr>
            <w:tcW w:w="1453" w:type="dxa"/>
            <w:vAlign w:val="center"/>
          </w:tcPr>
          <w:p>
            <w:pPr>
              <w:snapToGrid w:val="0"/>
              <w:jc w:val="center"/>
              <w:rPr>
                <w:rFonts w:ascii="黑体" w:hAnsi="黑体" w:eastAsia="黑体" w:cs="Times New Roman"/>
                <w:color w:val="auto"/>
                <w:szCs w:val="21"/>
              </w:rPr>
            </w:pPr>
            <w:r>
              <w:rPr>
                <w:rFonts w:hint="eastAsia" w:ascii="黑体" w:hAnsi="黑体" w:eastAsia="黑体" w:cs="Times New Roman"/>
                <w:color w:val="auto"/>
                <w:szCs w:val="21"/>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69" w:type="dxa"/>
            <w:vAlign w:val="center"/>
          </w:tcPr>
          <w:p>
            <w:pPr>
              <w:snapToGrid w:val="0"/>
              <w:jc w:val="center"/>
              <w:rPr>
                <w:rFonts w:ascii="黑体" w:hAnsi="黑体" w:eastAsia="黑体" w:cs="Times New Roman"/>
                <w:color w:val="auto"/>
                <w:szCs w:val="21"/>
              </w:rPr>
            </w:pPr>
            <w:r>
              <w:rPr>
                <w:rFonts w:hint="eastAsia" w:ascii="黑体" w:hAnsi="黑体" w:eastAsia="黑体" w:cs="Times New Roman"/>
                <w:color w:val="auto"/>
                <w:szCs w:val="21"/>
              </w:rPr>
              <w:t>7</w:t>
            </w:r>
          </w:p>
        </w:tc>
        <w:tc>
          <w:tcPr>
            <w:tcW w:w="1157" w:type="dxa"/>
            <w:vAlign w:val="center"/>
          </w:tcPr>
          <w:p>
            <w:pPr>
              <w:snapToGrid w:val="0"/>
              <w:jc w:val="center"/>
              <w:rPr>
                <w:rFonts w:ascii="黑体" w:hAnsi="黑体" w:eastAsia="黑体" w:cs="Times New Roman"/>
                <w:color w:val="auto"/>
                <w:szCs w:val="21"/>
              </w:rPr>
            </w:pPr>
            <w:r>
              <w:rPr>
                <w:rFonts w:hint="eastAsia" w:ascii="黑体" w:hAnsi="黑体" w:eastAsia="黑体" w:cs="Times New Roman"/>
                <w:color w:val="auto"/>
                <w:szCs w:val="21"/>
              </w:rPr>
              <w:t>安定性</w:t>
            </w:r>
          </w:p>
        </w:tc>
        <w:tc>
          <w:tcPr>
            <w:tcW w:w="2564" w:type="dxa"/>
            <w:vAlign w:val="center"/>
          </w:tcPr>
          <w:p>
            <w:pPr>
              <w:snapToGrid w:val="0"/>
              <w:jc w:val="center"/>
              <w:rPr>
                <w:rFonts w:ascii="黑体" w:hAnsi="黑体" w:eastAsia="黑体" w:cs="Times New Roman"/>
                <w:color w:val="auto"/>
                <w:szCs w:val="21"/>
              </w:rPr>
            </w:pPr>
            <w:r>
              <w:rPr>
                <w:rFonts w:hint="eastAsia" w:ascii="黑体" w:hAnsi="黑体" w:eastAsia="黑体" w:cs="Times New Roman"/>
                <w:color w:val="auto"/>
                <w:szCs w:val="21"/>
              </w:rPr>
              <w:t>GB175-2007中7.3</w:t>
            </w:r>
          </w:p>
        </w:tc>
        <w:tc>
          <w:tcPr>
            <w:tcW w:w="1049" w:type="dxa"/>
            <w:vAlign w:val="center"/>
          </w:tcPr>
          <w:p>
            <w:pPr>
              <w:snapToGrid w:val="0"/>
              <w:jc w:val="center"/>
              <w:rPr>
                <w:rFonts w:ascii="黑体" w:hAnsi="黑体" w:eastAsia="黑体" w:cs="Times New Roman"/>
                <w:color w:val="auto"/>
                <w:szCs w:val="21"/>
              </w:rPr>
            </w:pPr>
            <w:r>
              <w:rPr>
                <w:rFonts w:hint="eastAsia" w:ascii="黑体" w:hAnsi="黑体" w:eastAsia="黑体" w:cs="Times New Roman"/>
                <w:color w:val="auto"/>
                <w:szCs w:val="21"/>
              </w:rPr>
              <w:t>强制性</w:t>
            </w:r>
          </w:p>
        </w:tc>
        <w:tc>
          <w:tcPr>
            <w:tcW w:w="2098" w:type="dxa"/>
            <w:vMerge w:val="continue"/>
            <w:vAlign w:val="center"/>
          </w:tcPr>
          <w:p>
            <w:pPr>
              <w:snapToGrid w:val="0"/>
              <w:jc w:val="center"/>
              <w:rPr>
                <w:rFonts w:ascii="黑体" w:hAnsi="黑体" w:eastAsia="黑体" w:cs="Times New Roman"/>
                <w:color w:val="auto"/>
                <w:szCs w:val="21"/>
              </w:rPr>
            </w:pPr>
          </w:p>
        </w:tc>
        <w:tc>
          <w:tcPr>
            <w:tcW w:w="1453" w:type="dxa"/>
            <w:vAlign w:val="center"/>
          </w:tcPr>
          <w:p>
            <w:pPr>
              <w:snapToGrid w:val="0"/>
              <w:jc w:val="center"/>
              <w:rPr>
                <w:rFonts w:ascii="黑体" w:hAnsi="黑体" w:eastAsia="黑体" w:cs="Times New Roman"/>
                <w:color w:val="auto"/>
                <w:szCs w:val="21"/>
              </w:rPr>
            </w:pPr>
            <w:r>
              <w:rPr>
                <w:rFonts w:hint="eastAsia" w:ascii="黑体" w:hAnsi="黑体" w:eastAsia="黑体" w:cs="Times New Roman"/>
                <w:color w:val="auto"/>
                <w:szCs w:val="21"/>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69" w:type="dxa"/>
            <w:vAlign w:val="center"/>
          </w:tcPr>
          <w:p>
            <w:pPr>
              <w:snapToGrid w:val="0"/>
              <w:jc w:val="center"/>
              <w:rPr>
                <w:rFonts w:ascii="黑体" w:hAnsi="黑体" w:eastAsia="黑体" w:cs="Times New Roman"/>
                <w:color w:val="auto"/>
                <w:szCs w:val="21"/>
              </w:rPr>
            </w:pPr>
            <w:r>
              <w:rPr>
                <w:rFonts w:hint="eastAsia" w:ascii="黑体" w:hAnsi="黑体" w:eastAsia="黑体" w:cs="Times New Roman"/>
                <w:color w:val="auto"/>
                <w:szCs w:val="21"/>
              </w:rPr>
              <w:t>8</w:t>
            </w:r>
          </w:p>
        </w:tc>
        <w:tc>
          <w:tcPr>
            <w:tcW w:w="1157" w:type="dxa"/>
            <w:vAlign w:val="center"/>
          </w:tcPr>
          <w:p>
            <w:pPr>
              <w:snapToGrid w:val="0"/>
              <w:jc w:val="center"/>
              <w:rPr>
                <w:rFonts w:ascii="黑体" w:hAnsi="黑体" w:eastAsia="黑体" w:cs="Times New Roman"/>
                <w:color w:val="auto"/>
                <w:szCs w:val="21"/>
              </w:rPr>
            </w:pPr>
            <w:r>
              <w:rPr>
                <w:rFonts w:hint="eastAsia" w:ascii="黑体" w:hAnsi="黑体" w:eastAsia="黑体" w:cs="Times New Roman"/>
                <w:color w:val="auto"/>
                <w:szCs w:val="21"/>
              </w:rPr>
              <w:t>强度</w:t>
            </w:r>
          </w:p>
        </w:tc>
        <w:tc>
          <w:tcPr>
            <w:tcW w:w="2564" w:type="dxa"/>
            <w:vAlign w:val="center"/>
          </w:tcPr>
          <w:p>
            <w:pPr>
              <w:snapToGrid w:val="0"/>
              <w:jc w:val="center"/>
              <w:rPr>
                <w:rFonts w:ascii="黑体" w:hAnsi="黑体" w:eastAsia="黑体" w:cs="Times New Roman"/>
                <w:color w:val="auto"/>
                <w:szCs w:val="21"/>
              </w:rPr>
            </w:pPr>
            <w:r>
              <w:rPr>
                <w:rFonts w:hint="eastAsia" w:ascii="黑体" w:hAnsi="黑体" w:eastAsia="黑体" w:cs="Times New Roman"/>
                <w:color w:val="auto"/>
                <w:szCs w:val="21"/>
              </w:rPr>
              <w:t>GB175-2007中7.3</w:t>
            </w:r>
          </w:p>
        </w:tc>
        <w:tc>
          <w:tcPr>
            <w:tcW w:w="1049" w:type="dxa"/>
            <w:vAlign w:val="center"/>
          </w:tcPr>
          <w:p>
            <w:pPr>
              <w:snapToGrid w:val="0"/>
              <w:jc w:val="center"/>
              <w:rPr>
                <w:rFonts w:ascii="黑体" w:hAnsi="黑体" w:eastAsia="黑体" w:cs="Times New Roman"/>
                <w:color w:val="auto"/>
                <w:szCs w:val="21"/>
              </w:rPr>
            </w:pPr>
            <w:r>
              <w:rPr>
                <w:rFonts w:hint="eastAsia" w:ascii="黑体" w:hAnsi="黑体" w:eastAsia="黑体" w:cs="Times New Roman"/>
                <w:color w:val="auto"/>
                <w:szCs w:val="21"/>
              </w:rPr>
              <w:t>强制性</w:t>
            </w:r>
          </w:p>
        </w:tc>
        <w:tc>
          <w:tcPr>
            <w:tcW w:w="2098" w:type="dxa"/>
            <w:vAlign w:val="center"/>
          </w:tcPr>
          <w:p>
            <w:pPr>
              <w:snapToGrid w:val="0"/>
              <w:jc w:val="center"/>
              <w:rPr>
                <w:rFonts w:ascii="黑体" w:hAnsi="黑体" w:eastAsia="黑体" w:cs="Times New Roman"/>
                <w:color w:val="auto"/>
                <w:szCs w:val="21"/>
              </w:rPr>
            </w:pPr>
            <w:r>
              <w:rPr>
                <w:rFonts w:hint="eastAsia" w:ascii="黑体" w:hAnsi="黑体" w:eastAsia="黑体" w:cs="Times New Roman"/>
                <w:color w:val="auto"/>
                <w:szCs w:val="21"/>
              </w:rPr>
              <w:t>GB/T17671-1999</w:t>
            </w:r>
          </w:p>
        </w:tc>
        <w:tc>
          <w:tcPr>
            <w:tcW w:w="1453" w:type="dxa"/>
            <w:vAlign w:val="center"/>
          </w:tcPr>
          <w:p>
            <w:pPr>
              <w:snapToGrid w:val="0"/>
              <w:jc w:val="center"/>
              <w:rPr>
                <w:rFonts w:ascii="黑体" w:hAnsi="黑体" w:eastAsia="黑体" w:cs="Times New Roman"/>
                <w:color w:val="auto"/>
                <w:szCs w:val="21"/>
              </w:rPr>
            </w:pPr>
            <w:r>
              <w:rPr>
                <w:rFonts w:hint="eastAsia" w:ascii="黑体" w:hAnsi="黑体" w:eastAsia="黑体" w:cs="Times New Roman"/>
                <w:color w:val="auto"/>
                <w:szCs w:val="21"/>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69" w:type="dxa"/>
            <w:vAlign w:val="center"/>
          </w:tcPr>
          <w:p>
            <w:pPr>
              <w:snapToGrid w:val="0"/>
              <w:jc w:val="center"/>
              <w:rPr>
                <w:rFonts w:ascii="黑体" w:hAnsi="黑体" w:eastAsia="黑体" w:cs="Times New Roman"/>
                <w:color w:val="auto"/>
                <w:szCs w:val="21"/>
              </w:rPr>
            </w:pPr>
            <w:r>
              <w:rPr>
                <w:rFonts w:ascii="黑体" w:hAnsi="黑体" w:eastAsia="黑体" w:cs="Times New Roman"/>
                <w:color w:val="auto"/>
                <w:szCs w:val="21"/>
              </w:rPr>
              <w:t>9</w:t>
            </w:r>
          </w:p>
        </w:tc>
        <w:tc>
          <w:tcPr>
            <w:tcW w:w="1157" w:type="dxa"/>
            <w:vAlign w:val="center"/>
          </w:tcPr>
          <w:p>
            <w:pPr>
              <w:snapToGrid w:val="0"/>
              <w:jc w:val="center"/>
              <w:rPr>
                <w:rFonts w:ascii="黑体" w:hAnsi="黑体" w:eastAsia="黑体" w:cs="Times New Roman"/>
                <w:color w:val="auto"/>
                <w:szCs w:val="21"/>
              </w:rPr>
            </w:pPr>
            <w:r>
              <w:rPr>
                <w:rFonts w:hint="eastAsia" w:ascii="黑体" w:hAnsi="黑体" w:eastAsia="黑体" w:cs="Times New Roman"/>
                <w:color w:val="auto"/>
                <w:szCs w:val="21"/>
              </w:rPr>
              <w:t>铬（Ⅵ）</w:t>
            </w:r>
          </w:p>
        </w:tc>
        <w:tc>
          <w:tcPr>
            <w:tcW w:w="2564" w:type="dxa"/>
            <w:vAlign w:val="center"/>
          </w:tcPr>
          <w:p>
            <w:pPr>
              <w:snapToGrid w:val="0"/>
              <w:jc w:val="center"/>
              <w:rPr>
                <w:rFonts w:ascii="黑体" w:hAnsi="黑体" w:eastAsia="黑体" w:cs="Times New Roman"/>
                <w:color w:val="auto"/>
                <w:szCs w:val="21"/>
              </w:rPr>
            </w:pPr>
            <w:r>
              <w:rPr>
                <w:rFonts w:hint="eastAsia" w:ascii="黑体" w:hAnsi="黑体" w:eastAsia="黑体" w:cs="Times New Roman"/>
                <w:color w:val="auto"/>
                <w:szCs w:val="21"/>
              </w:rPr>
              <w:t>GB31893-2015</w:t>
            </w:r>
          </w:p>
        </w:tc>
        <w:tc>
          <w:tcPr>
            <w:tcW w:w="1049" w:type="dxa"/>
            <w:vAlign w:val="center"/>
          </w:tcPr>
          <w:p>
            <w:pPr>
              <w:snapToGrid w:val="0"/>
              <w:jc w:val="center"/>
              <w:rPr>
                <w:rFonts w:ascii="黑体" w:hAnsi="黑体" w:eastAsia="黑体" w:cs="Times New Roman"/>
                <w:color w:val="auto"/>
                <w:szCs w:val="21"/>
              </w:rPr>
            </w:pPr>
            <w:r>
              <w:rPr>
                <w:rFonts w:hint="eastAsia" w:ascii="黑体" w:hAnsi="黑体" w:eastAsia="黑体" w:cs="Times New Roman"/>
                <w:color w:val="auto"/>
                <w:szCs w:val="21"/>
              </w:rPr>
              <w:t>强制性</w:t>
            </w:r>
          </w:p>
        </w:tc>
        <w:tc>
          <w:tcPr>
            <w:tcW w:w="2098" w:type="dxa"/>
            <w:vAlign w:val="center"/>
          </w:tcPr>
          <w:p>
            <w:pPr>
              <w:snapToGrid w:val="0"/>
              <w:jc w:val="center"/>
              <w:rPr>
                <w:rFonts w:ascii="黑体" w:hAnsi="黑体" w:eastAsia="黑体" w:cs="Times New Roman"/>
                <w:color w:val="auto"/>
                <w:szCs w:val="21"/>
              </w:rPr>
            </w:pPr>
            <w:r>
              <w:rPr>
                <w:rFonts w:hint="eastAsia" w:ascii="黑体" w:hAnsi="黑体" w:eastAsia="黑体" w:cs="Times New Roman"/>
                <w:color w:val="auto"/>
                <w:szCs w:val="21"/>
              </w:rPr>
              <w:t>GB31893-2015</w:t>
            </w:r>
          </w:p>
        </w:tc>
        <w:tc>
          <w:tcPr>
            <w:tcW w:w="1453" w:type="dxa"/>
            <w:vAlign w:val="center"/>
          </w:tcPr>
          <w:p>
            <w:pPr>
              <w:snapToGrid w:val="0"/>
              <w:jc w:val="center"/>
              <w:rPr>
                <w:rFonts w:ascii="黑体" w:hAnsi="黑体" w:eastAsia="黑体" w:cs="Times New Roman"/>
                <w:color w:val="auto"/>
                <w:szCs w:val="21"/>
              </w:rPr>
            </w:pPr>
            <w:r>
              <w:rPr>
                <w:rFonts w:hint="eastAsia" w:ascii="黑体" w:hAnsi="黑体" w:eastAsia="黑体" w:cs="Times New Roman"/>
                <w:color w:val="auto"/>
                <w:szCs w:val="21"/>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69" w:type="dxa"/>
            <w:vAlign w:val="center"/>
          </w:tcPr>
          <w:p>
            <w:pPr>
              <w:snapToGrid w:val="0"/>
              <w:jc w:val="center"/>
              <w:rPr>
                <w:rFonts w:ascii="黑体" w:hAnsi="黑体" w:eastAsia="黑体" w:cs="Times New Roman"/>
                <w:color w:val="auto"/>
                <w:szCs w:val="21"/>
              </w:rPr>
            </w:pPr>
            <w:r>
              <w:rPr>
                <w:rFonts w:hint="eastAsia" w:ascii="黑体" w:hAnsi="黑体" w:eastAsia="黑体" w:cs="Times New Roman"/>
                <w:color w:val="auto"/>
                <w:szCs w:val="21"/>
              </w:rPr>
              <w:t>备注</w:t>
            </w:r>
          </w:p>
        </w:tc>
        <w:tc>
          <w:tcPr>
            <w:tcW w:w="8321" w:type="dxa"/>
            <w:gridSpan w:val="5"/>
            <w:vAlign w:val="center"/>
          </w:tcPr>
          <w:p>
            <w:pPr>
              <w:snapToGrid w:val="0"/>
              <w:rPr>
                <w:rFonts w:ascii="黑体" w:hAnsi="黑体" w:eastAsia="黑体" w:cs="Times New Roman"/>
                <w:color w:val="auto"/>
                <w:szCs w:val="21"/>
              </w:rPr>
            </w:pPr>
            <w:r>
              <w:rPr>
                <w:rFonts w:hint="eastAsia" w:ascii="黑体" w:hAnsi="黑体" w:eastAsia="黑体" w:cs="Times New Roman"/>
                <w:color w:val="auto"/>
                <w:szCs w:val="21"/>
              </w:rPr>
              <w:t>不同品种等级通用硅酸盐水泥的检验项目按照GB175-2007 《通用硅酸盐水泥》的规定进行。</w:t>
            </w:r>
          </w:p>
        </w:tc>
      </w:tr>
    </w:tbl>
    <w:p>
      <w:pPr>
        <w:snapToGrid w:val="0"/>
        <w:spacing w:line="460" w:lineRule="exact"/>
        <w:jc w:val="center"/>
        <w:rPr>
          <w:rFonts w:ascii="宋体" w:hAnsi="宋体"/>
          <w:b/>
          <w:snapToGrid w:val="0"/>
          <w:color w:val="auto"/>
          <w:sz w:val="18"/>
          <w:szCs w:val="18"/>
        </w:rPr>
      </w:pPr>
    </w:p>
    <w:p>
      <w:pPr>
        <w:snapToGrid w:val="0"/>
        <w:spacing w:line="360" w:lineRule="auto"/>
        <w:rPr>
          <w:rFonts w:ascii="仿宋_GB2312" w:hAnsi="宋体" w:eastAsia="仿宋_GB2312" w:cs="Times New Roman"/>
          <w:color w:val="auto"/>
          <w:sz w:val="28"/>
          <w:szCs w:val="28"/>
        </w:rPr>
      </w:pPr>
      <w:r>
        <w:rPr>
          <w:rFonts w:hint="eastAsia" w:ascii="仿宋_GB2312" w:hAnsi="宋体" w:eastAsia="仿宋_GB2312" w:cs="Times New Roman"/>
          <w:b/>
          <w:color w:val="auto"/>
          <w:sz w:val="28"/>
          <w:szCs w:val="28"/>
        </w:rPr>
        <w:t>6</w:t>
      </w:r>
      <w:r>
        <w:rPr>
          <w:rFonts w:ascii="仿宋_GB2312" w:hAnsi="宋体" w:eastAsia="仿宋_GB2312" w:cs="Times New Roman"/>
          <w:b/>
          <w:color w:val="auto"/>
          <w:sz w:val="28"/>
          <w:szCs w:val="28"/>
        </w:rPr>
        <w:t>.1.2</w:t>
      </w:r>
      <w:r>
        <w:rPr>
          <w:rFonts w:hint="eastAsia" w:ascii="仿宋_GB2312" w:hAnsi="宋体" w:eastAsia="仿宋_GB2312" w:cs="Times New Roman"/>
          <w:color w:val="auto"/>
          <w:sz w:val="28"/>
          <w:szCs w:val="28"/>
        </w:rPr>
        <w:t>白色硅酸盐水泥检验项目及重要程度分类</w:t>
      </w:r>
    </w:p>
    <w:tbl>
      <w:tblPr>
        <w:tblStyle w:val="5"/>
        <w:tblW w:w="89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5"/>
        <w:gridCol w:w="1315"/>
        <w:gridCol w:w="2543"/>
        <w:gridCol w:w="1040"/>
        <w:gridCol w:w="2081"/>
        <w:gridCol w:w="1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blHeader/>
          <w:jc w:val="center"/>
        </w:trPr>
        <w:tc>
          <w:tcPr>
            <w:tcW w:w="495" w:type="dxa"/>
            <w:vAlign w:val="center"/>
          </w:tcPr>
          <w:p>
            <w:pPr>
              <w:snapToGrid w:val="0"/>
              <w:jc w:val="center"/>
              <w:rPr>
                <w:rFonts w:ascii="黑体" w:hAnsi="黑体" w:eastAsia="黑体" w:cs="Times New Roman"/>
                <w:color w:val="auto"/>
                <w:szCs w:val="21"/>
              </w:rPr>
            </w:pPr>
            <w:r>
              <w:rPr>
                <w:rFonts w:hint="eastAsia" w:ascii="黑体" w:hAnsi="黑体" w:eastAsia="黑体" w:cs="Times New Roman"/>
                <w:color w:val="auto"/>
                <w:szCs w:val="21"/>
              </w:rPr>
              <w:t>序号</w:t>
            </w:r>
          </w:p>
        </w:tc>
        <w:tc>
          <w:tcPr>
            <w:tcW w:w="1315" w:type="dxa"/>
            <w:vAlign w:val="center"/>
          </w:tcPr>
          <w:p>
            <w:pPr>
              <w:snapToGrid w:val="0"/>
              <w:jc w:val="center"/>
              <w:rPr>
                <w:rFonts w:ascii="黑体" w:hAnsi="黑体" w:eastAsia="黑体" w:cs="Times New Roman"/>
                <w:color w:val="auto"/>
                <w:szCs w:val="21"/>
              </w:rPr>
            </w:pPr>
            <w:r>
              <w:rPr>
                <w:rFonts w:hint="eastAsia" w:ascii="黑体" w:hAnsi="黑体" w:eastAsia="黑体" w:cs="Times New Roman"/>
                <w:color w:val="auto"/>
                <w:szCs w:val="21"/>
              </w:rPr>
              <w:t>检验项目</w:t>
            </w:r>
          </w:p>
        </w:tc>
        <w:tc>
          <w:tcPr>
            <w:tcW w:w="2543" w:type="dxa"/>
            <w:vAlign w:val="center"/>
          </w:tcPr>
          <w:p>
            <w:pPr>
              <w:snapToGrid w:val="0"/>
              <w:jc w:val="center"/>
              <w:rPr>
                <w:rFonts w:ascii="黑体" w:hAnsi="黑体" w:eastAsia="黑体" w:cs="Times New Roman"/>
                <w:color w:val="auto"/>
                <w:szCs w:val="21"/>
              </w:rPr>
            </w:pPr>
            <w:r>
              <w:rPr>
                <w:rFonts w:hint="eastAsia" w:ascii="黑体" w:hAnsi="黑体" w:eastAsia="黑体" w:cs="Times New Roman"/>
                <w:color w:val="auto"/>
                <w:szCs w:val="21"/>
              </w:rPr>
              <w:t>依据法律法规</w:t>
            </w:r>
          </w:p>
          <w:p>
            <w:pPr>
              <w:snapToGrid w:val="0"/>
              <w:jc w:val="center"/>
              <w:rPr>
                <w:rFonts w:ascii="黑体" w:hAnsi="黑体" w:eastAsia="黑体" w:cs="Times New Roman"/>
                <w:color w:val="auto"/>
                <w:szCs w:val="21"/>
              </w:rPr>
            </w:pPr>
            <w:r>
              <w:rPr>
                <w:rFonts w:hint="eastAsia" w:ascii="黑体" w:hAnsi="黑体" w:eastAsia="黑体" w:cs="Times New Roman"/>
                <w:color w:val="auto"/>
                <w:szCs w:val="21"/>
              </w:rPr>
              <w:t>或标准条款</w:t>
            </w:r>
          </w:p>
        </w:tc>
        <w:tc>
          <w:tcPr>
            <w:tcW w:w="1040" w:type="dxa"/>
            <w:vAlign w:val="center"/>
          </w:tcPr>
          <w:p>
            <w:pPr>
              <w:snapToGrid w:val="0"/>
              <w:jc w:val="center"/>
              <w:rPr>
                <w:rFonts w:ascii="黑体" w:hAnsi="黑体" w:eastAsia="黑体" w:cs="Times New Roman"/>
                <w:color w:val="auto"/>
                <w:szCs w:val="21"/>
              </w:rPr>
            </w:pPr>
            <w:r>
              <w:rPr>
                <w:rFonts w:hint="eastAsia" w:ascii="黑体" w:hAnsi="黑体" w:eastAsia="黑体" w:cs="Times New Roman"/>
                <w:color w:val="auto"/>
                <w:szCs w:val="21"/>
              </w:rPr>
              <w:t>强制性/推荐性</w:t>
            </w:r>
          </w:p>
        </w:tc>
        <w:tc>
          <w:tcPr>
            <w:tcW w:w="2081" w:type="dxa"/>
            <w:vAlign w:val="center"/>
          </w:tcPr>
          <w:p>
            <w:pPr>
              <w:snapToGrid w:val="0"/>
              <w:jc w:val="center"/>
              <w:rPr>
                <w:rFonts w:ascii="黑体" w:hAnsi="黑体" w:eastAsia="黑体" w:cs="Times New Roman"/>
                <w:color w:val="auto"/>
                <w:szCs w:val="21"/>
              </w:rPr>
            </w:pPr>
            <w:r>
              <w:rPr>
                <w:rFonts w:hint="eastAsia" w:ascii="黑体" w:hAnsi="黑体" w:eastAsia="黑体" w:cs="Times New Roman"/>
                <w:color w:val="auto"/>
                <w:szCs w:val="21"/>
              </w:rPr>
              <w:t>检测方法</w:t>
            </w:r>
          </w:p>
        </w:tc>
        <w:tc>
          <w:tcPr>
            <w:tcW w:w="1486" w:type="dxa"/>
            <w:vAlign w:val="center"/>
          </w:tcPr>
          <w:p>
            <w:pPr>
              <w:snapToGrid w:val="0"/>
              <w:jc w:val="center"/>
              <w:rPr>
                <w:rFonts w:ascii="黑体" w:hAnsi="黑体" w:eastAsia="黑体" w:cs="Times New Roman"/>
                <w:color w:val="auto"/>
                <w:szCs w:val="21"/>
              </w:rPr>
            </w:pPr>
            <w:r>
              <w:rPr>
                <w:rFonts w:hint="eastAsia" w:ascii="黑体" w:hAnsi="黑体" w:eastAsia="黑体" w:cs="Times New Roman"/>
                <w:color w:val="auto"/>
                <w:szCs w:val="21"/>
              </w:rPr>
              <w:t>复检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95" w:type="dxa"/>
            <w:vAlign w:val="center"/>
          </w:tcPr>
          <w:p>
            <w:pPr>
              <w:snapToGrid w:val="0"/>
              <w:jc w:val="center"/>
              <w:rPr>
                <w:rFonts w:ascii="黑体" w:hAnsi="黑体" w:eastAsia="黑体" w:cs="Times New Roman"/>
                <w:color w:val="auto"/>
                <w:szCs w:val="21"/>
              </w:rPr>
            </w:pPr>
            <w:r>
              <w:rPr>
                <w:rFonts w:hint="eastAsia" w:ascii="黑体" w:hAnsi="黑体" w:eastAsia="黑体" w:cs="Times New Roman"/>
                <w:color w:val="auto"/>
                <w:szCs w:val="21"/>
              </w:rPr>
              <w:t>1</w:t>
            </w:r>
          </w:p>
        </w:tc>
        <w:tc>
          <w:tcPr>
            <w:tcW w:w="1315" w:type="dxa"/>
            <w:vAlign w:val="center"/>
          </w:tcPr>
          <w:p>
            <w:pPr>
              <w:snapToGrid w:val="0"/>
              <w:jc w:val="center"/>
              <w:rPr>
                <w:rFonts w:ascii="黑体" w:hAnsi="黑体" w:eastAsia="黑体" w:cs="Times New Roman"/>
                <w:color w:val="auto"/>
                <w:szCs w:val="21"/>
              </w:rPr>
            </w:pPr>
            <w:r>
              <w:rPr>
                <w:rFonts w:hint="eastAsia" w:ascii="黑体" w:hAnsi="黑体" w:eastAsia="黑体" w:cs="Times New Roman"/>
                <w:color w:val="auto"/>
                <w:szCs w:val="21"/>
              </w:rPr>
              <w:t>三氧化硫</w:t>
            </w:r>
          </w:p>
        </w:tc>
        <w:tc>
          <w:tcPr>
            <w:tcW w:w="2543" w:type="dxa"/>
            <w:vAlign w:val="center"/>
          </w:tcPr>
          <w:p>
            <w:pPr>
              <w:snapToGrid w:val="0"/>
              <w:jc w:val="center"/>
              <w:rPr>
                <w:rFonts w:ascii="黑体" w:hAnsi="黑体" w:eastAsia="黑体" w:cs="Times New Roman"/>
                <w:color w:val="auto"/>
                <w:szCs w:val="21"/>
              </w:rPr>
            </w:pPr>
            <w:r>
              <w:rPr>
                <w:rFonts w:hint="eastAsia" w:ascii="黑体" w:hAnsi="黑体" w:eastAsia="黑体" w:cs="Times New Roman"/>
                <w:color w:val="auto"/>
                <w:szCs w:val="21"/>
              </w:rPr>
              <w:t>GB/T2015-2017中6.1.1</w:t>
            </w:r>
          </w:p>
        </w:tc>
        <w:tc>
          <w:tcPr>
            <w:tcW w:w="1040" w:type="dxa"/>
            <w:vAlign w:val="center"/>
          </w:tcPr>
          <w:p>
            <w:pPr>
              <w:jc w:val="center"/>
              <w:rPr>
                <w:rFonts w:ascii="黑体" w:hAnsi="黑体" w:eastAsia="黑体" w:cs="Times New Roman"/>
                <w:color w:val="auto"/>
                <w:szCs w:val="21"/>
              </w:rPr>
            </w:pPr>
            <w:r>
              <w:rPr>
                <w:rFonts w:hint="eastAsia" w:ascii="黑体" w:hAnsi="黑体" w:eastAsia="黑体" w:cs="Times New Roman"/>
                <w:color w:val="auto"/>
                <w:szCs w:val="21"/>
              </w:rPr>
              <w:t>推荐性</w:t>
            </w:r>
          </w:p>
        </w:tc>
        <w:tc>
          <w:tcPr>
            <w:tcW w:w="2081" w:type="dxa"/>
            <w:vAlign w:val="center"/>
          </w:tcPr>
          <w:p>
            <w:pPr>
              <w:snapToGrid w:val="0"/>
              <w:jc w:val="center"/>
              <w:rPr>
                <w:rFonts w:ascii="黑体" w:hAnsi="黑体" w:eastAsia="黑体" w:cs="Times New Roman"/>
                <w:color w:val="auto"/>
                <w:szCs w:val="21"/>
              </w:rPr>
            </w:pPr>
            <w:r>
              <w:rPr>
                <w:rFonts w:hint="eastAsia" w:ascii="黑体" w:hAnsi="黑体" w:eastAsia="黑体" w:cs="Times New Roman"/>
                <w:color w:val="auto"/>
                <w:szCs w:val="21"/>
              </w:rPr>
              <w:t>G</w:t>
            </w:r>
            <w:r>
              <w:rPr>
                <w:rFonts w:ascii="黑体" w:hAnsi="黑体" w:eastAsia="黑体" w:cs="Times New Roman"/>
                <w:color w:val="auto"/>
                <w:szCs w:val="21"/>
              </w:rPr>
              <w:t>B/T 176-2017/6.5</w:t>
            </w:r>
          </w:p>
        </w:tc>
        <w:tc>
          <w:tcPr>
            <w:tcW w:w="1486" w:type="dxa"/>
            <w:vAlign w:val="center"/>
          </w:tcPr>
          <w:p>
            <w:pPr>
              <w:snapToGrid w:val="0"/>
              <w:jc w:val="center"/>
              <w:rPr>
                <w:rFonts w:ascii="黑体" w:hAnsi="黑体" w:eastAsia="黑体" w:cs="Times New Roman"/>
                <w:color w:val="auto"/>
                <w:szCs w:val="21"/>
              </w:rPr>
            </w:pPr>
            <w:r>
              <w:rPr>
                <w:rFonts w:hint="eastAsia" w:ascii="黑体" w:hAnsi="黑体" w:eastAsia="黑体" w:cs="Times New Roman"/>
                <w:color w:val="auto"/>
                <w:szCs w:val="21"/>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95" w:type="dxa"/>
            <w:vAlign w:val="center"/>
          </w:tcPr>
          <w:p>
            <w:pPr>
              <w:snapToGrid w:val="0"/>
              <w:jc w:val="center"/>
              <w:rPr>
                <w:rFonts w:ascii="黑体" w:hAnsi="黑体" w:eastAsia="黑体" w:cs="Times New Roman"/>
                <w:color w:val="auto"/>
                <w:szCs w:val="21"/>
              </w:rPr>
            </w:pPr>
            <w:r>
              <w:rPr>
                <w:rFonts w:hint="eastAsia" w:ascii="黑体" w:hAnsi="黑体" w:eastAsia="黑体" w:cs="Times New Roman"/>
                <w:color w:val="auto"/>
                <w:szCs w:val="21"/>
              </w:rPr>
              <w:t>2</w:t>
            </w:r>
          </w:p>
        </w:tc>
        <w:tc>
          <w:tcPr>
            <w:tcW w:w="1315" w:type="dxa"/>
            <w:vAlign w:val="center"/>
          </w:tcPr>
          <w:p>
            <w:pPr>
              <w:snapToGrid w:val="0"/>
              <w:jc w:val="center"/>
              <w:rPr>
                <w:rFonts w:ascii="黑体" w:hAnsi="黑体" w:eastAsia="黑体" w:cs="Times New Roman"/>
                <w:color w:val="auto"/>
                <w:szCs w:val="21"/>
              </w:rPr>
            </w:pPr>
            <w:r>
              <w:rPr>
                <w:rFonts w:hint="eastAsia" w:ascii="黑体" w:hAnsi="黑体" w:eastAsia="黑体" w:cs="Times New Roman"/>
                <w:color w:val="auto"/>
                <w:szCs w:val="21"/>
              </w:rPr>
              <w:t>凝结时间</w:t>
            </w:r>
          </w:p>
        </w:tc>
        <w:tc>
          <w:tcPr>
            <w:tcW w:w="2543" w:type="dxa"/>
            <w:vAlign w:val="center"/>
          </w:tcPr>
          <w:p>
            <w:pPr>
              <w:snapToGrid w:val="0"/>
              <w:jc w:val="center"/>
              <w:rPr>
                <w:rFonts w:ascii="黑体" w:hAnsi="黑体" w:eastAsia="黑体" w:cs="Times New Roman"/>
                <w:color w:val="auto"/>
                <w:szCs w:val="21"/>
              </w:rPr>
            </w:pPr>
            <w:r>
              <w:rPr>
                <w:rFonts w:hint="eastAsia" w:ascii="黑体" w:hAnsi="黑体" w:eastAsia="黑体" w:cs="Times New Roman"/>
                <w:color w:val="auto"/>
                <w:szCs w:val="21"/>
              </w:rPr>
              <w:t>GB/T2015-2017中6.2.3</w:t>
            </w:r>
          </w:p>
        </w:tc>
        <w:tc>
          <w:tcPr>
            <w:tcW w:w="1040" w:type="dxa"/>
            <w:vAlign w:val="center"/>
          </w:tcPr>
          <w:p>
            <w:pPr>
              <w:jc w:val="center"/>
              <w:rPr>
                <w:rFonts w:ascii="黑体" w:hAnsi="黑体" w:eastAsia="黑体" w:cs="Times New Roman"/>
                <w:color w:val="auto"/>
                <w:szCs w:val="21"/>
              </w:rPr>
            </w:pPr>
            <w:r>
              <w:rPr>
                <w:rFonts w:hint="eastAsia" w:ascii="黑体" w:hAnsi="黑体" w:eastAsia="黑体" w:cs="Times New Roman"/>
                <w:color w:val="auto"/>
                <w:szCs w:val="21"/>
              </w:rPr>
              <w:t>推荐性</w:t>
            </w:r>
          </w:p>
        </w:tc>
        <w:tc>
          <w:tcPr>
            <w:tcW w:w="2081" w:type="dxa"/>
            <w:vAlign w:val="center"/>
          </w:tcPr>
          <w:p>
            <w:pPr>
              <w:snapToGrid w:val="0"/>
              <w:jc w:val="center"/>
              <w:rPr>
                <w:rFonts w:ascii="黑体" w:hAnsi="黑体" w:eastAsia="黑体" w:cs="Times New Roman"/>
                <w:color w:val="auto"/>
                <w:szCs w:val="21"/>
              </w:rPr>
            </w:pPr>
            <w:r>
              <w:rPr>
                <w:rFonts w:hint="eastAsia" w:ascii="黑体" w:hAnsi="黑体" w:eastAsia="黑体" w:cs="Times New Roman"/>
                <w:color w:val="auto"/>
                <w:szCs w:val="21"/>
              </w:rPr>
              <w:t>G</w:t>
            </w:r>
            <w:r>
              <w:rPr>
                <w:rFonts w:ascii="黑体" w:hAnsi="黑体" w:eastAsia="黑体" w:cs="Times New Roman"/>
                <w:color w:val="auto"/>
                <w:szCs w:val="21"/>
              </w:rPr>
              <w:t>B/T 1346-2011</w:t>
            </w:r>
          </w:p>
        </w:tc>
        <w:tc>
          <w:tcPr>
            <w:tcW w:w="1486" w:type="dxa"/>
            <w:vAlign w:val="center"/>
          </w:tcPr>
          <w:p>
            <w:pPr>
              <w:snapToGrid w:val="0"/>
              <w:jc w:val="center"/>
              <w:rPr>
                <w:rFonts w:ascii="黑体" w:hAnsi="黑体" w:eastAsia="黑体" w:cs="Times New Roman"/>
                <w:color w:val="auto"/>
                <w:szCs w:val="21"/>
              </w:rPr>
            </w:pPr>
            <w:r>
              <w:rPr>
                <w:rFonts w:hint="eastAsia" w:ascii="黑体" w:hAnsi="黑体" w:eastAsia="黑体" w:cs="Times New Roman"/>
                <w:color w:val="auto"/>
                <w:szCs w:val="21"/>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95" w:type="dxa"/>
            <w:vAlign w:val="center"/>
          </w:tcPr>
          <w:p>
            <w:pPr>
              <w:snapToGrid w:val="0"/>
              <w:jc w:val="center"/>
              <w:rPr>
                <w:rFonts w:ascii="黑体" w:hAnsi="黑体" w:eastAsia="黑体" w:cs="Times New Roman"/>
                <w:color w:val="auto"/>
                <w:szCs w:val="21"/>
              </w:rPr>
            </w:pPr>
            <w:r>
              <w:rPr>
                <w:rFonts w:hint="eastAsia" w:ascii="黑体" w:hAnsi="黑体" w:eastAsia="黑体" w:cs="Times New Roman"/>
                <w:color w:val="auto"/>
                <w:szCs w:val="21"/>
              </w:rPr>
              <w:t>3</w:t>
            </w:r>
          </w:p>
        </w:tc>
        <w:tc>
          <w:tcPr>
            <w:tcW w:w="1315" w:type="dxa"/>
            <w:vAlign w:val="center"/>
          </w:tcPr>
          <w:p>
            <w:pPr>
              <w:snapToGrid w:val="0"/>
              <w:jc w:val="center"/>
              <w:rPr>
                <w:rFonts w:ascii="黑体" w:hAnsi="黑体" w:eastAsia="黑体" w:cs="Times New Roman"/>
                <w:color w:val="auto"/>
                <w:szCs w:val="21"/>
              </w:rPr>
            </w:pPr>
            <w:r>
              <w:rPr>
                <w:rFonts w:hint="eastAsia" w:ascii="黑体" w:hAnsi="黑体" w:eastAsia="黑体" w:cs="Times New Roman"/>
                <w:color w:val="auto"/>
                <w:szCs w:val="21"/>
              </w:rPr>
              <w:t>安定性</w:t>
            </w:r>
          </w:p>
        </w:tc>
        <w:tc>
          <w:tcPr>
            <w:tcW w:w="2543" w:type="dxa"/>
            <w:vAlign w:val="center"/>
          </w:tcPr>
          <w:p>
            <w:pPr>
              <w:snapToGrid w:val="0"/>
              <w:jc w:val="center"/>
              <w:rPr>
                <w:rFonts w:ascii="黑体" w:hAnsi="黑体" w:eastAsia="黑体" w:cs="Times New Roman"/>
                <w:color w:val="auto"/>
                <w:szCs w:val="21"/>
              </w:rPr>
            </w:pPr>
            <w:r>
              <w:rPr>
                <w:rFonts w:hint="eastAsia" w:ascii="黑体" w:hAnsi="黑体" w:eastAsia="黑体" w:cs="Times New Roman"/>
                <w:color w:val="auto"/>
                <w:szCs w:val="21"/>
              </w:rPr>
              <w:t>GB/T2015-2017中6.2.2</w:t>
            </w:r>
          </w:p>
        </w:tc>
        <w:tc>
          <w:tcPr>
            <w:tcW w:w="1040" w:type="dxa"/>
            <w:vAlign w:val="center"/>
          </w:tcPr>
          <w:p>
            <w:pPr>
              <w:jc w:val="center"/>
              <w:rPr>
                <w:rFonts w:ascii="黑体" w:hAnsi="黑体" w:eastAsia="黑体" w:cs="Times New Roman"/>
                <w:color w:val="auto"/>
                <w:szCs w:val="21"/>
              </w:rPr>
            </w:pPr>
            <w:r>
              <w:rPr>
                <w:rFonts w:hint="eastAsia" w:ascii="黑体" w:hAnsi="黑体" w:eastAsia="黑体" w:cs="Times New Roman"/>
                <w:color w:val="auto"/>
                <w:szCs w:val="21"/>
              </w:rPr>
              <w:t>推荐性</w:t>
            </w:r>
          </w:p>
        </w:tc>
        <w:tc>
          <w:tcPr>
            <w:tcW w:w="2081" w:type="dxa"/>
            <w:vAlign w:val="center"/>
          </w:tcPr>
          <w:p>
            <w:pPr>
              <w:snapToGrid w:val="0"/>
              <w:jc w:val="center"/>
              <w:rPr>
                <w:rFonts w:ascii="黑体" w:hAnsi="黑体" w:eastAsia="黑体" w:cs="Times New Roman"/>
                <w:color w:val="auto"/>
                <w:szCs w:val="21"/>
              </w:rPr>
            </w:pPr>
            <w:r>
              <w:rPr>
                <w:rFonts w:hint="eastAsia" w:ascii="黑体" w:hAnsi="黑体" w:eastAsia="黑体" w:cs="Times New Roman"/>
                <w:color w:val="auto"/>
                <w:szCs w:val="21"/>
              </w:rPr>
              <w:t>G</w:t>
            </w:r>
            <w:r>
              <w:rPr>
                <w:rFonts w:ascii="黑体" w:hAnsi="黑体" w:eastAsia="黑体" w:cs="Times New Roman"/>
                <w:color w:val="auto"/>
                <w:szCs w:val="21"/>
              </w:rPr>
              <w:t>B/T 1346-2011</w:t>
            </w:r>
          </w:p>
        </w:tc>
        <w:tc>
          <w:tcPr>
            <w:tcW w:w="1486" w:type="dxa"/>
            <w:vAlign w:val="center"/>
          </w:tcPr>
          <w:p>
            <w:pPr>
              <w:snapToGrid w:val="0"/>
              <w:jc w:val="center"/>
              <w:rPr>
                <w:rFonts w:ascii="黑体" w:hAnsi="黑体" w:eastAsia="黑体" w:cs="Times New Roman"/>
                <w:color w:val="auto"/>
                <w:szCs w:val="21"/>
              </w:rPr>
            </w:pPr>
            <w:r>
              <w:rPr>
                <w:rFonts w:hint="eastAsia" w:ascii="黑体" w:hAnsi="黑体" w:eastAsia="黑体" w:cs="Times New Roman"/>
                <w:color w:val="auto"/>
                <w:szCs w:val="21"/>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95" w:type="dxa"/>
            <w:vAlign w:val="center"/>
          </w:tcPr>
          <w:p>
            <w:pPr>
              <w:snapToGrid w:val="0"/>
              <w:jc w:val="center"/>
              <w:rPr>
                <w:rFonts w:ascii="黑体" w:hAnsi="黑体" w:eastAsia="黑体" w:cs="Times New Roman"/>
                <w:color w:val="auto"/>
                <w:szCs w:val="21"/>
              </w:rPr>
            </w:pPr>
            <w:r>
              <w:rPr>
                <w:rFonts w:hint="eastAsia" w:ascii="黑体" w:hAnsi="黑体" w:eastAsia="黑体" w:cs="Times New Roman"/>
                <w:color w:val="auto"/>
                <w:szCs w:val="21"/>
              </w:rPr>
              <w:t>4</w:t>
            </w:r>
          </w:p>
        </w:tc>
        <w:tc>
          <w:tcPr>
            <w:tcW w:w="1315" w:type="dxa"/>
            <w:vAlign w:val="center"/>
          </w:tcPr>
          <w:p>
            <w:pPr>
              <w:snapToGrid w:val="0"/>
              <w:jc w:val="center"/>
              <w:rPr>
                <w:rFonts w:ascii="黑体" w:hAnsi="黑体" w:eastAsia="黑体" w:cs="Times New Roman"/>
                <w:color w:val="auto"/>
                <w:szCs w:val="21"/>
              </w:rPr>
            </w:pPr>
            <w:r>
              <w:rPr>
                <w:rFonts w:hint="eastAsia" w:ascii="黑体" w:hAnsi="黑体" w:eastAsia="黑体" w:cs="Times New Roman"/>
                <w:color w:val="auto"/>
                <w:szCs w:val="21"/>
              </w:rPr>
              <w:t>强度</w:t>
            </w:r>
          </w:p>
        </w:tc>
        <w:tc>
          <w:tcPr>
            <w:tcW w:w="2543" w:type="dxa"/>
            <w:vAlign w:val="center"/>
          </w:tcPr>
          <w:p>
            <w:pPr>
              <w:snapToGrid w:val="0"/>
              <w:jc w:val="center"/>
              <w:rPr>
                <w:rFonts w:ascii="黑体" w:hAnsi="黑体" w:eastAsia="黑体" w:cs="Times New Roman"/>
                <w:color w:val="auto"/>
                <w:szCs w:val="21"/>
              </w:rPr>
            </w:pPr>
            <w:r>
              <w:rPr>
                <w:rFonts w:hint="eastAsia" w:ascii="黑体" w:hAnsi="黑体" w:eastAsia="黑体" w:cs="Times New Roman"/>
                <w:color w:val="auto"/>
                <w:szCs w:val="21"/>
              </w:rPr>
              <w:t>GB/T2015-2017中6.2.5</w:t>
            </w:r>
          </w:p>
        </w:tc>
        <w:tc>
          <w:tcPr>
            <w:tcW w:w="1040" w:type="dxa"/>
            <w:vAlign w:val="center"/>
          </w:tcPr>
          <w:p>
            <w:pPr>
              <w:jc w:val="center"/>
              <w:rPr>
                <w:rFonts w:ascii="黑体" w:hAnsi="黑体" w:eastAsia="黑体" w:cs="Times New Roman"/>
                <w:color w:val="auto"/>
                <w:szCs w:val="21"/>
              </w:rPr>
            </w:pPr>
            <w:r>
              <w:rPr>
                <w:rFonts w:hint="eastAsia" w:ascii="黑体" w:hAnsi="黑体" w:eastAsia="黑体" w:cs="Times New Roman"/>
                <w:color w:val="auto"/>
                <w:szCs w:val="21"/>
              </w:rPr>
              <w:t>推荐性</w:t>
            </w:r>
          </w:p>
        </w:tc>
        <w:tc>
          <w:tcPr>
            <w:tcW w:w="2081" w:type="dxa"/>
            <w:vAlign w:val="center"/>
          </w:tcPr>
          <w:p>
            <w:pPr>
              <w:snapToGrid w:val="0"/>
              <w:jc w:val="center"/>
              <w:rPr>
                <w:rFonts w:ascii="黑体" w:hAnsi="黑体" w:eastAsia="黑体" w:cs="Times New Roman"/>
                <w:color w:val="auto"/>
                <w:szCs w:val="21"/>
              </w:rPr>
            </w:pPr>
            <w:r>
              <w:rPr>
                <w:rFonts w:hint="eastAsia" w:ascii="黑体" w:hAnsi="黑体" w:eastAsia="黑体" w:cs="Times New Roman"/>
                <w:color w:val="auto"/>
                <w:szCs w:val="21"/>
              </w:rPr>
              <w:t>G</w:t>
            </w:r>
            <w:r>
              <w:rPr>
                <w:rFonts w:ascii="黑体" w:hAnsi="黑体" w:eastAsia="黑体" w:cs="Times New Roman"/>
                <w:color w:val="auto"/>
                <w:szCs w:val="21"/>
              </w:rPr>
              <w:t>B/T 17671-1999</w:t>
            </w:r>
          </w:p>
        </w:tc>
        <w:tc>
          <w:tcPr>
            <w:tcW w:w="1486" w:type="dxa"/>
            <w:vAlign w:val="center"/>
          </w:tcPr>
          <w:p>
            <w:pPr>
              <w:snapToGrid w:val="0"/>
              <w:jc w:val="center"/>
              <w:rPr>
                <w:rFonts w:ascii="黑体" w:hAnsi="黑体" w:eastAsia="黑体" w:cs="Times New Roman"/>
                <w:color w:val="auto"/>
                <w:szCs w:val="21"/>
              </w:rPr>
            </w:pPr>
            <w:r>
              <w:rPr>
                <w:rFonts w:hint="eastAsia" w:ascii="黑体" w:hAnsi="黑体" w:eastAsia="黑体" w:cs="Times New Roman"/>
                <w:color w:val="auto"/>
                <w:szCs w:val="21"/>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95" w:type="dxa"/>
            <w:vAlign w:val="center"/>
          </w:tcPr>
          <w:p>
            <w:pPr>
              <w:snapToGrid w:val="0"/>
              <w:jc w:val="center"/>
              <w:rPr>
                <w:rFonts w:ascii="黑体" w:hAnsi="黑体" w:eastAsia="黑体" w:cs="Times New Roman"/>
                <w:color w:val="auto"/>
                <w:szCs w:val="21"/>
              </w:rPr>
            </w:pPr>
            <w:r>
              <w:rPr>
                <w:rFonts w:hint="eastAsia" w:ascii="黑体" w:hAnsi="黑体" w:eastAsia="黑体" w:cs="Times New Roman"/>
                <w:color w:val="auto"/>
                <w:szCs w:val="21"/>
              </w:rPr>
              <w:t>5</w:t>
            </w:r>
          </w:p>
        </w:tc>
        <w:tc>
          <w:tcPr>
            <w:tcW w:w="1315" w:type="dxa"/>
            <w:vAlign w:val="center"/>
          </w:tcPr>
          <w:p>
            <w:pPr>
              <w:snapToGrid w:val="0"/>
              <w:jc w:val="center"/>
              <w:rPr>
                <w:rFonts w:ascii="黑体" w:hAnsi="黑体" w:eastAsia="黑体" w:cs="Times New Roman"/>
                <w:color w:val="auto"/>
                <w:szCs w:val="21"/>
              </w:rPr>
            </w:pPr>
            <w:r>
              <w:rPr>
                <w:rFonts w:hint="eastAsia" w:ascii="黑体" w:hAnsi="黑体" w:eastAsia="黑体" w:cs="Times New Roman"/>
                <w:color w:val="auto"/>
                <w:szCs w:val="21"/>
              </w:rPr>
              <w:t>白度</w:t>
            </w:r>
          </w:p>
        </w:tc>
        <w:tc>
          <w:tcPr>
            <w:tcW w:w="2543" w:type="dxa"/>
            <w:vAlign w:val="center"/>
          </w:tcPr>
          <w:p>
            <w:pPr>
              <w:snapToGrid w:val="0"/>
              <w:jc w:val="center"/>
              <w:rPr>
                <w:rFonts w:ascii="黑体" w:hAnsi="黑体" w:eastAsia="黑体" w:cs="Times New Roman"/>
                <w:color w:val="auto"/>
                <w:szCs w:val="21"/>
              </w:rPr>
            </w:pPr>
            <w:r>
              <w:rPr>
                <w:rFonts w:hint="eastAsia" w:ascii="黑体" w:hAnsi="黑体" w:eastAsia="黑体" w:cs="Times New Roman"/>
                <w:color w:val="auto"/>
                <w:szCs w:val="21"/>
              </w:rPr>
              <w:t>GB/T2015-2017中6.2.4</w:t>
            </w:r>
          </w:p>
        </w:tc>
        <w:tc>
          <w:tcPr>
            <w:tcW w:w="1040" w:type="dxa"/>
            <w:vAlign w:val="center"/>
          </w:tcPr>
          <w:p>
            <w:pPr>
              <w:snapToGrid w:val="0"/>
              <w:jc w:val="center"/>
              <w:rPr>
                <w:rFonts w:ascii="黑体" w:hAnsi="黑体" w:eastAsia="黑体" w:cs="Times New Roman"/>
                <w:color w:val="auto"/>
                <w:szCs w:val="21"/>
              </w:rPr>
            </w:pPr>
            <w:r>
              <w:rPr>
                <w:rFonts w:hint="eastAsia" w:ascii="黑体" w:hAnsi="黑体" w:eastAsia="黑体" w:cs="Times New Roman"/>
                <w:color w:val="auto"/>
                <w:szCs w:val="21"/>
              </w:rPr>
              <w:t>推荐性</w:t>
            </w:r>
          </w:p>
        </w:tc>
        <w:tc>
          <w:tcPr>
            <w:tcW w:w="2081" w:type="dxa"/>
            <w:vAlign w:val="center"/>
          </w:tcPr>
          <w:p>
            <w:pPr>
              <w:snapToGrid w:val="0"/>
              <w:jc w:val="center"/>
              <w:rPr>
                <w:rFonts w:ascii="黑体" w:hAnsi="黑体" w:eastAsia="黑体" w:cs="Times New Roman"/>
                <w:color w:val="auto"/>
                <w:szCs w:val="21"/>
              </w:rPr>
            </w:pPr>
            <w:r>
              <w:rPr>
                <w:rFonts w:ascii="黑体" w:hAnsi="黑体" w:eastAsia="黑体" w:cs="Times New Roman"/>
                <w:color w:val="auto"/>
                <w:szCs w:val="21"/>
              </w:rPr>
              <w:t>GB/T 5950-2008</w:t>
            </w:r>
          </w:p>
        </w:tc>
        <w:tc>
          <w:tcPr>
            <w:tcW w:w="1486" w:type="dxa"/>
            <w:vAlign w:val="center"/>
          </w:tcPr>
          <w:p>
            <w:pPr>
              <w:snapToGrid w:val="0"/>
              <w:jc w:val="center"/>
              <w:rPr>
                <w:rFonts w:ascii="黑体" w:hAnsi="黑体" w:eastAsia="黑体" w:cs="Times New Roman"/>
                <w:color w:val="auto"/>
                <w:szCs w:val="21"/>
              </w:rPr>
            </w:pPr>
            <w:r>
              <w:rPr>
                <w:rFonts w:hint="eastAsia" w:ascii="黑体" w:hAnsi="黑体" w:eastAsia="黑体" w:cs="Times New Roman"/>
                <w:color w:val="auto"/>
                <w:szCs w:val="21"/>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95" w:type="dxa"/>
            <w:vAlign w:val="center"/>
          </w:tcPr>
          <w:p>
            <w:pPr>
              <w:snapToGrid w:val="0"/>
              <w:jc w:val="center"/>
              <w:rPr>
                <w:rFonts w:ascii="黑体" w:hAnsi="黑体" w:eastAsia="黑体" w:cs="Times New Roman"/>
                <w:color w:val="auto"/>
                <w:szCs w:val="21"/>
              </w:rPr>
            </w:pPr>
            <w:r>
              <w:rPr>
                <w:rFonts w:hint="eastAsia" w:ascii="黑体" w:hAnsi="黑体" w:eastAsia="黑体" w:cs="Times New Roman"/>
                <w:color w:val="auto"/>
                <w:szCs w:val="21"/>
              </w:rPr>
              <w:t>6</w:t>
            </w:r>
          </w:p>
        </w:tc>
        <w:tc>
          <w:tcPr>
            <w:tcW w:w="1315" w:type="dxa"/>
            <w:vAlign w:val="center"/>
          </w:tcPr>
          <w:p>
            <w:pPr>
              <w:snapToGrid w:val="0"/>
              <w:jc w:val="center"/>
              <w:rPr>
                <w:rFonts w:ascii="黑体" w:hAnsi="黑体" w:eastAsia="黑体" w:cs="Times New Roman"/>
                <w:color w:val="auto"/>
                <w:szCs w:val="21"/>
              </w:rPr>
            </w:pPr>
            <w:r>
              <w:rPr>
                <w:rFonts w:hint="eastAsia" w:ascii="黑体" w:hAnsi="黑体" w:eastAsia="黑体" w:cs="Times New Roman"/>
                <w:color w:val="auto"/>
                <w:szCs w:val="21"/>
              </w:rPr>
              <w:t>细度</w:t>
            </w:r>
          </w:p>
        </w:tc>
        <w:tc>
          <w:tcPr>
            <w:tcW w:w="2543" w:type="dxa"/>
            <w:vAlign w:val="center"/>
          </w:tcPr>
          <w:p>
            <w:pPr>
              <w:snapToGrid w:val="0"/>
              <w:jc w:val="center"/>
              <w:rPr>
                <w:rFonts w:ascii="黑体" w:hAnsi="黑体" w:eastAsia="黑体" w:cs="Times New Roman"/>
                <w:color w:val="auto"/>
                <w:szCs w:val="21"/>
              </w:rPr>
            </w:pPr>
            <w:r>
              <w:rPr>
                <w:rFonts w:hint="eastAsia" w:ascii="黑体" w:hAnsi="黑体" w:eastAsia="黑体" w:cs="Times New Roman"/>
                <w:color w:val="auto"/>
                <w:szCs w:val="21"/>
              </w:rPr>
              <w:t>GB/T2015-2017中6.2.1</w:t>
            </w:r>
          </w:p>
        </w:tc>
        <w:tc>
          <w:tcPr>
            <w:tcW w:w="1040" w:type="dxa"/>
            <w:vAlign w:val="center"/>
          </w:tcPr>
          <w:p>
            <w:pPr>
              <w:snapToGrid w:val="0"/>
              <w:jc w:val="center"/>
              <w:rPr>
                <w:rFonts w:ascii="黑体" w:hAnsi="黑体" w:eastAsia="黑体" w:cs="Times New Roman"/>
                <w:color w:val="auto"/>
                <w:szCs w:val="21"/>
              </w:rPr>
            </w:pPr>
            <w:r>
              <w:rPr>
                <w:rFonts w:hint="eastAsia" w:ascii="黑体" w:hAnsi="黑体" w:eastAsia="黑体" w:cs="Times New Roman"/>
                <w:color w:val="auto"/>
                <w:szCs w:val="21"/>
              </w:rPr>
              <w:t>推荐性</w:t>
            </w:r>
          </w:p>
        </w:tc>
        <w:tc>
          <w:tcPr>
            <w:tcW w:w="2081" w:type="dxa"/>
            <w:vAlign w:val="center"/>
          </w:tcPr>
          <w:p>
            <w:pPr>
              <w:snapToGrid w:val="0"/>
              <w:jc w:val="center"/>
              <w:rPr>
                <w:rFonts w:ascii="黑体" w:hAnsi="黑体" w:eastAsia="黑体" w:cs="Times New Roman"/>
                <w:color w:val="auto"/>
                <w:szCs w:val="21"/>
              </w:rPr>
            </w:pPr>
            <w:r>
              <w:rPr>
                <w:rFonts w:ascii="黑体" w:hAnsi="黑体" w:eastAsia="黑体" w:cs="Times New Roman"/>
                <w:color w:val="auto"/>
                <w:szCs w:val="21"/>
              </w:rPr>
              <w:t>GB/T 1345-2005</w:t>
            </w:r>
          </w:p>
        </w:tc>
        <w:tc>
          <w:tcPr>
            <w:tcW w:w="1486" w:type="dxa"/>
            <w:vAlign w:val="center"/>
          </w:tcPr>
          <w:p>
            <w:pPr>
              <w:snapToGrid w:val="0"/>
              <w:jc w:val="center"/>
              <w:rPr>
                <w:rFonts w:ascii="黑体" w:hAnsi="黑体" w:eastAsia="黑体" w:cs="Times New Roman"/>
                <w:color w:val="auto"/>
                <w:szCs w:val="21"/>
              </w:rPr>
            </w:pPr>
            <w:r>
              <w:rPr>
                <w:rFonts w:hint="eastAsia" w:ascii="黑体" w:hAnsi="黑体" w:eastAsia="黑体" w:cs="Times New Roman"/>
                <w:color w:val="auto"/>
                <w:szCs w:val="21"/>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95" w:type="dxa"/>
            <w:vAlign w:val="center"/>
          </w:tcPr>
          <w:p>
            <w:pPr>
              <w:snapToGrid w:val="0"/>
              <w:jc w:val="center"/>
              <w:rPr>
                <w:rFonts w:ascii="黑体" w:hAnsi="黑体" w:eastAsia="黑体" w:cs="Times New Roman"/>
                <w:color w:val="auto"/>
                <w:szCs w:val="21"/>
              </w:rPr>
            </w:pPr>
            <w:r>
              <w:rPr>
                <w:rFonts w:ascii="黑体" w:hAnsi="黑体" w:eastAsia="黑体" w:cs="Times New Roman"/>
                <w:color w:val="auto"/>
                <w:szCs w:val="21"/>
              </w:rPr>
              <w:t>7</w:t>
            </w:r>
          </w:p>
        </w:tc>
        <w:tc>
          <w:tcPr>
            <w:tcW w:w="1315" w:type="dxa"/>
            <w:vAlign w:val="center"/>
          </w:tcPr>
          <w:p>
            <w:pPr>
              <w:snapToGrid w:val="0"/>
              <w:jc w:val="center"/>
              <w:rPr>
                <w:rFonts w:ascii="黑体" w:hAnsi="黑体" w:eastAsia="黑体" w:cs="Times New Roman"/>
                <w:color w:val="auto"/>
                <w:szCs w:val="21"/>
              </w:rPr>
            </w:pPr>
            <w:r>
              <w:rPr>
                <w:rFonts w:hint="eastAsia" w:ascii="黑体" w:hAnsi="黑体" w:eastAsia="黑体" w:cs="Times New Roman"/>
                <w:color w:val="auto"/>
                <w:szCs w:val="21"/>
              </w:rPr>
              <w:t>铬（Ⅵ）</w:t>
            </w:r>
          </w:p>
        </w:tc>
        <w:tc>
          <w:tcPr>
            <w:tcW w:w="2543" w:type="dxa"/>
            <w:vAlign w:val="center"/>
          </w:tcPr>
          <w:p>
            <w:pPr>
              <w:snapToGrid w:val="0"/>
              <w:jc w:val="center"/>
              <w:rPr>
                <w:rFonts w:ascii="黑体" w:hAnsi="黑体" w:eastAsia="黑体" w:cs="Times New Roman"/>
                <w:color w:val="auto"/>
                <w:szCs w:val="21"/>
              </w:rPr>
            </w:pPr>
            <w:r>
              <w:rPr>
                <w:rFonts w:hint="eastAsia" w:ascii="黑体" w:hAnsi="黑体" w:eastAsia="黑体" w:cs="Times New Roman"/>
                <w:color w:val="auto"/>
                <w:szCs w:val="21"/>
              </w:rPr>
              <w:t>GB/T2015-2017中6.1.2</w:t>
            </w:r>
          </w:p>
        </w:tc>
        <w:tc>
          <w:tcPr>
            <w:tcW w:w="1040" w:type="dxa"/>
            <w:vAlign w:val="center"/>
          </w:tcPr>
          <w:p>
            <w:pPr>
              <w:snapToGrid w:val="0"/>
              <w:jc w:val="center"/>
              <w:rPr>
                <w:rFonts w:ascii="黑体" w:hAnsi="黑体" w:eastAsia="黑体" w:cs="Times New Roman"/>
                <w:color w:val="auto"/>
                <w:szCs w:val="21"/>
              </w:rPr>
            </w:pPr>
            <w:r>
              <w:rPr>
                <w:rFonts w:hint="eastAsia" w:ascii="黑体" w:hAnsi="黑体" w:eastAsia="黑体" w:cs="Times New Roman"/>
                <w:color w:val="auto"/>
                <w:szCs w:val="21"/>
              </w:rPr>
              <w:t>推荐性</w:t>
            </w:r>
          </w:p>
        </w:tc>
        <w:tc>
          <w:tcPr>
            <w:tcW w:w="2081" w:type="dxa"/>
            <w:vAlign w:val="center"/>
          </w:tcPr>
          <w:p>
            <w:pPr>
              <w:snapToGrid w:val="0"/>
              <w:jc w:val="center"/>
              <w:rPr>
                <w:rFonts w:ascii="黑体" w:hAnsi="黑体" w:eastAsia="黑体" w:cs="Times New Roman"/>
                <w:color w:val="auto"/>
                <w:szCs w:val="21"/>
              </w:rPr>
            </w:pPr>
            <w:r>
              <w:rPr>
                <w:rFonts w:hint="eastAsia" w:ascii="黑体" w:hAnsi="黑体" w:eastAsia="黑体" w:cs="Times New Roman"/>
                <w:color w:val="auto"/>
                <w:szCs w:val="21"/>
              </w:rPr>
              <w:t>G</w:t>
            </w:r>
            <w:r>
              <w:rPr>
                <w:rFonts w:ascii="黑体" w:hAnsi="黑体" w:eastAsia="黑体" w:cs="Times New Roman"/>
                <w:color w:val="auto"/>
                <w:szCs w:val="21"/>
              </w:rPr>
              <w:t>B 31893-2015</w:t>
            </w:r>
          </w:p>
        </w:tc>
        <w:tc>
          <w:tcPr>
            <w:tcW w:w="1486" w:type="dxa"/>
            <w:vAlign w:val="center"/>
          </w:tcPr>
          <w:p>
            <w:pPr>
              <w:snapToGrid w:val="0"/>
              <w:jc w:val="center"/>
              <w:rPr>
                <w:rFonts w:ascii="黑体" w:hAnsi="黑体" w:eastAsia="黑体" w:cs="Times New Roman"/>
                <w:color w:val="auto"/>
                <w:szCs w:val="21"/>
              </w:rPr>
            </w:pPr>
            <w:r>
              <w:rPr>
                <w:rFonts w:hint="eastAsia" w:ascii="黑体" w:hAnsi="黑体" w:eastAsia="黑体" w:cs="Times New Roman"/>
                <w:color w:val="auto"/>
                <w:szCs w:val="21"/>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95" w:type="dxa"/>
            <w:vAlign w:val="center"/>
          </w:tcPr>
          <w:p>
            <w:pPr>
              <w:snapToGrid w:val="0"/>
              <w:jc w:val="center"/>
              <w:rPr>
                <w:rFonts w:ascii="黑体" w:hAnsi="黑体" w:eastAsia="黑体" w:cs="Times New Roman"/>
                <w:color w:val="auto"/>
                <w:szCs w:val="21"/>
              </w:rPr>
            </w:pPr>
            <w:r>
              <w:rPr>
                <w:rFonts w:hint="eastAsia" w:ascii="黑体" w:hAnsi="黑体" w:eastAsia="黑体" w:cs="Times New Roman"/>
                <w:color w:val="auto"/>
                <w:szCs w:val="21"/>
              </w:rPr>
              <w:t>备注</w:t>
            </w:r>
          </w:p>
        </w:tc>
        <w:tc>
          <w:tcPr>
            <w:tcW w:w="8465" w:type="dxa"/>
            <w:gridSpan w:val="5"/>
            <w:vAlign w:val="center"/>
          </w:tcPr>
          <w:p>
            <w:pPr>
              <w:numPr>
                <w:ilvl w:val="0"/>
                <w:numId w:val="1"/>
              </w:numPr>
              <w:snapToGrid w:val="0"/>
              <w:ind w:left="0"/>
              <w:rPr>
                <w:rFonts w:ascii="黑体" w:hAnsi="黑体" w:eastAsia="黑体" w:cs="Times New Roman"/>
                <w:color w:val="auto"/>
                <w:szCs w:val="21"/>
              </w:rPr>
            </w:pPr>
            <w:r>
              <w:rPr>
                <w:rFonts w:hint="eastAsia" w:ascii="黑体" w:hAnsi="黑体" w:eastAsia="黑体" w:cs="Times New Roman"/>
                <w:color w:val="auto"/>
                <w:szCs w:val="21"/>
              </w:rPr>
              <w:t>不同强度等级白色硅酸盐水泥按GB/T2015-2017《白色硅酸盐水泥》的规定进行。</w:t>
            </w:r>
          </w:p>
        </w:tc>
      </w:tr>
    </w:tbl>
    <w:p>
      <w:pPr>
        <w:snapToGrid w:val="0"/>
        <w:spacing w:line="460" w:lineRule="exact"/>
        <w:rPr>
          <w:rFonts w:ascii="宋体" w:hAnsi="宋体"/>
          <w:b/>
          <w:color w:val="auto"/>
          <w:szCs w:val="21"/>
        </w:rPr>
      </w:pPr>
    </w:p>
    <w:p>
      <w:pPr>
        <w:snapToGrid w:val="0"/>
        <w:spacing w:line="360" w:lineRule="auto"/>
        <w:jc w:val="left"/>
        <w:rPr>
          <w:rFonts w:ascii="仿宋_GB2312" w:hAnsi="Times New Roman" w:eastAsia="仿宋_GB2312" w:cs="Sim Sun"/>
          <w:b/>
          <w:color w:val="auto"/>
          <w:kern w:val="0"/>
          <w:sz w:val="28"/>
          <w:szCs w:val="28"/>
        </w:rPr>
      </w:pPr>
      <w:r>
        <w:rPr>
          <w:rFonts w:ascii="仿宋_GB2312" w:hAnsi="Times New Roman" w:eastAsia="仿宋_GB2312" w:cs="Sim Sun"/>
          <w:b/>
          <w:color w:val="auto"/>
          <w:kern w:val="0"/>
          <w:sz w:val="28"/>
          <w:szCs w:val="28"/>
        </w:rPr>
        <w:t>6</w:t>
      </w:r>
      <w:r>
        <w:rPr>
          <w:rFonts w:hint="eastAsia" w:ascii="仿宋_GB2312" w:hAnsi="Times New Roman" w:eastAsia="仿宋_GB2312" w:cs="Sim Sun"/>
          <w:b/>
          <w:color w:val="auto"/>
          <w:kern w:val="0"/>
          <w:sz w:val="28"/>
          <w:szCs w:val="28"/>
        </w:rPr>
        <w:t>.2检验应注意的问题</w:t>
      </w:r>
    </w:p>
    <w:p>
      <w:pPr>
        <w:snapToGrid w:val="0"/>
        <w:spacing w:line="360" w:lineRule="auto"/>
        <w:jc w:val="left"/>
        <w:rPr>
          <w:rFonts w:ascii="仿宋_GB2312" w:hAnsi="Times New Roman" w:eastAsia="仿宋_GB2312" w:cs="Sim Sun"/>
          <w:color w:val="auto"/>
          <w:kern w:val="0"/>
          <w:sz w:val="28"/>
          <w:szCs w:val="28"/>
        </w:rPr>
      </w:pPr>
      <w:r>
        <w:rPr>
          <w:rFonts w:hint="eastAsia" w:ascii="仿宋_GB2312" w:hAnsi="Times New Roman" w:eastAsia="仿宋_GB2312" w:cs="Sim Sun"/>
          <w:b/>
          <w:color w:val="auto"/>
          <w:kern w:val="0"/>
          <w:sz w:val="28"/>
          <w:szCs w:val="28"/>
        </w:rPr>
        <w:t>6</w:t>
      </w:r>
      <w:r>
        <w:rPr>
          <w:rFonts w:ascii="仿宋_GB2312" w:hAnsi="Times New Roman" w:eastAsia="仿宋_GB2312" w:cs="Sim Sun"/>
          <w:b/>
          <w:color w:val="auto"/>
          <w:kern w:val="0"/>
          <w:sz w:val="28"/>
          <w:szCs w:val="28"/>
        </w:rPr>
        <w:t>.2.1</w:t>
      </w:r>
      <w:r>
        <w:rPr>
          <w:rFonts w:hint="eastAsia" w:ascii="仿宋_GB2312" w:hAnsi="Times New Roman" w:eastAsia="仿宋_GB2312" w:cs="Sim Sun"/>
          <w:color w:val="auto"/>
          <w:kern w:val="0"/>
          <w:sz w:val="28"/>
          <w:szCs w:val="28"/>
        </w:rPr>
        <w:t>检验机构接收样品应当有专人负责检查、记录样品的外观、状态、封条有无破损及其他可能对检测结果或者综合判定产生影响的情况，并确认样品与抽样单的记录是否相符，对检测和备用样品分别加贴相应标识后入库。</w:t>
      </w:r>
    </w:p>
    <w:p>
      <w:pPr>
        <w:snapToGrid w:val="0"/>
        <w:spacing w:line="360" w:lineRule="auto"/>
        <w:jc w:val="left"/>
        <w:rPr>
          <w:rFonts w:ascii="仿宋_GB2312" w:hAnsi="Times New Roman" w:eastAsia="仿宋_GB2312" w:cs="Sim Sun"/>
          <w:color w:val="auto"/>
          <w:kern w:val="0"/>
          <w:sz w:val="28"/>
          <w:szCs w:val="28"/>
        </w:rPr>
      </w:pPr>
      <w:r>
        <w:rPr>
          <w:rFonts w:ascii="仿宋_GB2312" w:hAnsi="Times New Roman" w:eastAsia="仿宋_GB2312" w:cs="Sim Sun"/>
          <w:b/>
          <w:color w:val="auto"/>
          <w:kern w:val="0"/>
          <w:sz w:val="28"/>
          <w:szCs w:val="28"/>
        </w:rPr>
        <w:t>6.2.2</w:t>
      </w:r>
      <w:r>
        <w:rPr>
          <w:rFonts w:hint="eastAsia" w:ascii="仿宋_GB2312" w:hAnsi="Times New Roman" w:eastAsia="仿宋_GB2312" w:cs="Sim Sun"/>
          <w:color w:val="auto"/>
          <w:kern w:val="0"/>
          <w:sz w:val="28"/>
          <w:szCs w:val="28"/>
        </w:rPr>
        <w:t>如被检产品明示执行标准版本已被新版本替换，则以产品明示生产日期为准判定检测用标准版本：生产日期在新版本标准生效日期之前，按旧版本标准进行检测，生产日期在新版本生效日期之后，则按新版本标准进行检测。</w:t>
      </w:r>
    </w:p>
    <w:p>
      <w:pPr>
        <w:snapToGrid w:val="0"/>
        <w:spacing w:line="360" w:lineRule="auto"/>
        <w:jc w:val="left"/>
        <w:rPr>
          <w:rFonts w:ascii="仿宋_GB2312" w:hAnsi="Times New Roman" w:eastAsia="仿宋_GB2312" w:cs="Sim Sun"/>
          <w:color w:val="auto"/>
          <w:kern w:val="0"/>
          <w:sz w:val="28"/>
          <w:szCs w:val="28"/>
        </w:rPr>
      </w:pPr>
      <w:r>
        <w:rPr>
          <w:rFonts w:ascii="仿宋_GB2312" w:hAnsi="Times New Roman" w:eastAsia="仿宋_GB2312" w:cs="Sim Sun"/>
          <w:b/>
          <w:color w:val="auto"/>
          <w:kern w:val="0"/>
          <w:sz w:val="28"/>
          <w:szCs w:val="28"/>
        </w:rPr>
        <w:t>6</w:t>
      </w:r>
      <w:r>
        <w:rPr>
          <w:rFonts w:hint="eastAsia" w:ascii="仿宋_GB2312" w:hAnsi="Times New Roman" w:eastAsia="仿宋_GB2312" w:cs="Sim Sun"/>
          <w:b/>
          <w:color w:val="auto"/>
          <w:kern w:val="0"/>
          <w:sz w:val="28"/>
          <w:szCs w:val="28"/>
        </w:rPr>
        <w:t>.2.</w:t>
      </w:r>
      <w:r>
        <w:rPr>
          <w:rFonts w:ascii="仿宋_GB2312" w:hAnsi="Times New Roman" w:eastAsia="仿宋_GB2312" w:cs="Sim Sun"/>
          <w:b/>
          <w:color w:val="auto"/>
          <w:kern w:val="0"/>
          <w:sz w:val="28"/>
          <w:szCs w:val="28"/>
        </w:rPr>
        <w:t>3</w:t>
      </w:r>
      <w:r>
        <w:rPr>
          <w:rFonts w:hint="eastAsia" w:ascii="仿宋_GB2312" w:hAnsi="Times New Roman" w:eastAsia="仿宋_GB2312" w:cs="Sim Sun"/>
          <w:color w:val="auto"/>
          <w:kern w:val="0"/>
          <w:sz w:val="28"/>
          <w:szCs w:val="28"/>
        </w:rPr>
        <w:t xml:space="preserve"> 当方法标准中有基准法和代用法时，检验结果为临界值时以基准法结果为准。</w:t>
      </w:r>
    </w:p>
    <w:p>
      <w:pPr>
        <w:snapToGrid w:val="0"/>
        <w:spacing w:line="360" w:lineRule="auto"/>
        <w:jc w:val="left"/>
        <w:rPr>
          <w:rFonts w:ascii="仿宋_GB2312" w:hAnsi="Times New Roman" w:eastAsia="仿宋_GB2312" w:cs="Sim Sun"/>
          <w:color w:val="auto"/>
          <w:kern w:val="0"/>
          <w:sz w:val="28"/>
          <w:szCs w:val="28"/>
        </w:rPr>
      </w:pPr>
      <w:r>
        <w:rPr>
          <w:rFonts w:ascii="仿宋_GB2312" w:hAnsi="Times New Roman" w:eastAsia="仿宋_GB2312" w:cs="Sim Sun"/>
          <w:b/>
          <w:color w:val="auto"/>
          <w:kern w:val="0"/>
          <w:sz w:val="28"/>
          <w:szCs w:val="28"/>
        </w:rPr>
        <w:t>6</w:t>
      </w:r>
      <w:r>
        <w:rPr>
          <w:rFonts w:hint="eastAsia" w:ascii="仿宋_GB2312" w:hAnsi="Times New Roman" w:eastAsia="仿宋_GB2312" w:cs="Sim Sun"/>
          <w:b/>
          <w:color w:val="auto"/>
          <w:kern w:val="0"/>
          <w:sz w:val="28"/>
          <w:szCs w:val="28"/>
        </w:rPr>
        <w:t>.2.</w:t>
      </w:r>
      <w:r>
        <w:rPr>
          <w:rFonts w:ascii="仿宋_GB2312" w:hAnsi="Times New Roman" w:eastAsia="仿宋_GB2312" w:cs="Sim Sun"/>
          <w:b/>
          <w:color w:val="auto"/>
          <w:kern w:val="0"/>
          <w:sz w:val="28"/>
          <w:szCs w:val="28"/>
        </w:rPr>
        <w:t>4</w:t>
      </w:r>
      <w:r>
        <w:rPr>
          <w:rFonts w:hint="eastAsia" w:ascii="仿宋_GB2312" w:hAnsi="Times New Roman" w:eastAsia="仿宋_GB2312" w:cs="Sim Sun"/>
          <w:color w:val="auto"/>
          <w:kern w:val="0"/>
          <w:sz w:val="28"/>
          <w:szCs w:val="28"/>
        </w:rPr>
        <w:t>当硅酸盐水泥和普通硅酸盐水泥中氧化镁含量大于5.0％时，应进行压蒸安定性检验，压蒸安定性检验合格后，则水泥中氧化镁允许放宽至6.0％。</w:t>
      </w:r>
    </w:p>
    <w:p>
      <w:pPr>
        <w:snapToGrid w:val="0"/>
        <w:spacing w:line="360" w:lineRule="auto"/>
        <w:jc w:val="left"/>
        <w:rPr>
          <w:rFonts w:ascii="仿宋_GB2312" w:hAnsi="Times New Roman" w:eastAsia="仿宋_GB2312" w:cs="Sim Sun"/>
          <w:color w:val="auto"/>
          <w:kern w:val="0"/>
          <w:sz w:val="28"/>
          <w:szCs w:val="28"/>
        </w:rPr>
      </w:pPr>
      <w:r>
        <w:rPr>
          <w:rFonts w:ascii="仿宋_GB2312" w:hAnsi="Times New Roman" w:eastAsia="仿宋_GB2312" w:cs="Sim Sun"/>
          <w:b/>
          <w:color w:val="auto"/>
          <w:kern w:val="0"/>
          <w:sz w:val="28"/>
          <w:szCs w:val="28"/>
        </w:rPr>
        <w:t>6</w:t>
      </w:r>
      <w:r>
        <w:rPr>
          <w:rFonts w:hint="eastAsia" w:ascii="仿宋_GB2312" w:hAnsi="Times New Roman" w:eastAsia="仿宋_GB2312" w:cs="Sim Sun"/>
          <w:b/>
          <w:color w:val="auto"/>
          <w:kern w:val="0"/>
          <w:sz w:val="28"/>
          <w:szCs w:val="28"/>
        </w:rPr>
        <w:t>.2.</w:t>
      </w:r>
      <w:r>
        <w:rPr>
          <w:rFonts w:ascii="仿宋_GB2312" w:hAnsi="Times New Roman" w:eastAsia="仿宋_GB2312" w:cs="Sim Sun"/>
          <w:b/>
          <w:color w:val="auto"/>
          <w:kern w:val="0"/>
          <w:sz w:val="28"/>
          <w:szCs w:val="28"/>
        </w:rPr>
        <w:t>5</w:t>
      </w:r>
      <w:r>
        <w:rPr>
          <w:rFonts w:hint="eastAsia" w:ascii="仿宋_GB2312" w:hAnsi="Times New Roman" w:eastAsia="仿宋_GB2312" w:cs="Sim Sun"/>
          <w:b/>
          <w:color w:val="auto"/>
          <w:kern w:val="0"/>
          <w:sz w:val="28"/>
          <w:szCs w:val="28"/>
        </w:rPr>
        <w:t xml:space="preserve"> </w:t>
      </w:r>
      <w:r>
        <w:rPr>
          <w:rFonts w:hint="eastAsia" w:ascii="仿宋_GB2312" w:hAnsi="Times New Roman" w:eastAsia="仿宋_GB2312" w:cs="Sim Sun"/>
          <w:color w:val="auto"/>
          <w:kern w:val="0"/>
          <w:sz w:val="28"/>
          <w:szCs w:val="28"/>
        </w:rPr>
        <w:t>当A型矿渣硅酸盐水泥、火山灰质硅酸盐水泥、粉煤灰硅酸盐水泥和复合硅酸盐水泥中氧化镁含量大于6.0％时，需进行压蒸安定性试验并合格。</w:t>
      </w:r>
    </w:p>
    <w:p>
      <w:pPr>
        <w:snapToGrid w:val="0"/>
        <w:spacing w:line="360" w:lineRule="auto"/>
        <w:ind w:right="-197" w:rightChars="-94"/>
        <w:jc w:val="left"/>
        <w:rPr>
          <w:rFonts w:ascii="仿宋_GB2312" w:hAnsi="Times New Roman" w:eastAsia="仿宋_GB2312" w:cs="Sim Sun"/>
          <w:color w:val="auto"/>
          <w:kern w:val="0"/>
          <w:sz w:val="28"/>
          <w:szCs w:val="28"/>
        </w:rPr>
      </w:pPr>
      <w:r>
        <w:rPr>
          <w:rFonts w:ascii="仿宋_GB2312" w:hAnsi="Times New Roman" w:eastAsia="仿宋_GB2312" w:cs="Sim Sun"/>
          <w:b/>
          <w:color w:val="auto"/>
          <w:kern w:val="0"/>
          <w:sz w:val="28"/>
          <w:szCs w:val="28"/>
        </w:rPr>
        <w:t>6</w:t>
      </w:r>
      <w:r>
        <w:rPr>
          <w:rFonts w:hint="eastAsia" w:ascii="仿宋_GB2312" w:hAnsi="Times New Roman" w:eastAsia="仿宋_GB2312" w:cs="Sim Sun"/>
          <w:b/>
          <w:color w:val="auto"/>
          <w:kern w:val="0"/>
          <w:sz w:val="28"/>
          <w:szCs w:val="28"/>
        </w:rPr>
        <w:t>.2.</w:t>
      </w:r>
      <w:r>
        <w:rPr>
          <w:rFonts w:ascii="仿宋_GB2312" w:hAnsi="Times New Roman" w:eastAsia="仿宋_GB2312" w:cs="Sim Sun"/>
          <w:b/>
          <w:color w:val="auto"/>
          <w:kern w:val="0"/>
          <w:sz w:val="28"/>
          <w:szCs w:val="28"/>
        </w:rPr>
        <w:t>6</w:t>
      </w:r>
      <w:r>
        <w:rPr>
          <w:rFonts w:hint="eastAsia" w:ascii="仿宋_GB2312" w:hAnsi="Times New Roman" w:eastAsia="仿宋_GB2312" w:cs="Sim Sun"/>
          <w:color w:val="auto"/>
          <w:kern w:val="0"/>
          <w:sz w:val="28"/>
          <w:szCs w:val="28"/>
        </w:rPr>
        <w:t>当样品在寄送过程中保存不当受潮时，应考虑重新抽取样品。</w:t>
      </w:r>
    </w:p>
    <w:p>
      <w:pPr>
        <w:snapToGrid w:val="0"/>
        <w:spacing w:line="360" w:lineRule="auto"/>
        <w:jc w:val="left"/>
        <w:rPr>
          <w:rFonts w:ascii="仿宋_GB2312" w:hAnsi="Times New Roman" w:eastAsia="仿宋_GB2312" w:cs="Sim Sun"/>
          <w:color w:val="auto"/>
          <w:kern w:val="0"/>
          <w:sz w:val="28"/>
          <w:szCs w:val="28"/>
        </w:rPr>
      </w:pPr>
      <w:r>
        <w:rPr>
          <w:rFonts w:ascii="仿宋_GB2312" w:hAnsi="Times New Roman" w:eastAsia="仿宋_GB2312" w:cs="Sim Sun"/>
          <w:b/>
          <w:color w:val="auto"/>
          <w:kern w:val="0"/>
          <w:sz w:val="28"/>
          <w:szCs w:val="28"/>
        </w:rPr>
        <w:t>6</w:t>
      </w:r>
      <w:r>
        <w:rPr>
          <w:rFonts w:hint="eastAsia" w:ascii="仿宋_GB2312" w:hAnsi="Times New Roman" w:eastAsia="仿宋_GB2312" w:cs="Sim Sun"/>
          <w:b/>
          <w:color w:val="auto"/>
          <w:kern w:val="0"/>
          <w:sz w:val="28"/>
          <w:szCs w:val="28"/>
        </w:rPr>
        <w:t>.2.</w:t>
      </w:r>
      <w:r>
        <w:rPr>
          <w:rFonts w:ascii="仿宋_GB2312" w:hAnsi="Times New Roman" w:eastAsia="仿宋_GB2312" w:cs="Sim Sun"/>
          <w:b/>
          <w:color w:val="auto"/>
          <w:kern w:val="0"/>
          <w:sz w:val="28"/>
          <w:szCs w:val="28"/>
        </w:rPr>
        <w:t>7</w:t>
      </w:r>
      <w:r>
        <w:rPr>
          <w:rFonts w:hint="eastAsia" w:ascii="仿宋_GB2312" w:hAnsi="Times New Roman" w:eastAsia="仿宋_GB2312" w:cs="Sim Sun"/>
          <w:color w:val="auto"/>
          <w:kern w:val="0"/>
          <w:sz w:val="28"/>
          <w:szCs w:val="28"/>
        </w:rPr>
        <w:t>应在取样之日起10天内完成水泥安定性检验。</w:t>
      </w:r>
    </w:p>
    <w:p>
      <w:pPr>
        <w:snapToGrid w:val="0"/>
        <w:spacing w:line="360" w:lineRule="auto"/>
        <w:jc w:val="left"/>
        <w:rPr>
          <w:rFonts w:ascii="仿宋_GB2312" w:hAnsi="Times New Roman" w:eastAsia="仿宋_GB2312" w:cs="Sim Sun"/>
          <w:color w:val="auto"/>
          <w:kern w:val="0"/>
          <w:sz w:val="28"/>
          <w:szCs w:val="28"/>
        </w:rPr>
      </w:pPr>
      <w:r>
        <w:rPr>
          <w:rFonts w:ascii="仿宋_GB2312" w:hAnsi="Times New Roman" w:eastAsia="仿宋_GB2312" w:cs="Sim Sun"/>
          <w:b/>
          <w:color w:val="auto"/>
          <w:kern w:val="0"/>
          <w:sz w:val="28"/>
          <w:szCs w:val="28"/>
        </w:rPr>
        <w:t>6</w:t>
      </w:r>
      <w:r>
        <w:rPr>
          <w:rFonts w:hint="eastAsia" w:ascii="仿宋_GB2312" w:hAnsi="Times New Roman" w:eastAsia="仿宋_GB2312" w:cs="Sim Sun"/>
          <w:b/>
          <w:color w:val="auto"/>
          <w:kern w:val="0"/>
          <w:sz w:val="28"/>
          <w:szCs w:val="28"/>
        </w:rPr>
        <w:t>.2.</w:t>
      </w:r>
      <w:r>
        <w:rPr>
          <w:rFonts w:ascii="仿宋_GB2312" w:hAnsi="Times New Roman" w:eastAsia="仿宋_GB2312" w:cs="Sim Sun"/>
          <w:b/>
          <w:color w:val="auto"/>
          <w:kern w:val="0"/>
          <w:sz w:val="28"/>
          <w:szCs w:val="28"/>
        </w:rPr>
        <w:t>8</w:t>
      </w:r>
      <w:r>
        <w:rPr>
          <w:rFonts w:hint="eastAsia" w:ascii="仿宋_GB2312" w:hAnsi="Times New Roman" w:eastAsia="仿宋_GB2312" w:cs="Sim Sun"/>
          <w:color w:val="auto"/>
          <w:kern w:val="0"/>
          <w:sz w:val="28"/>
          <w:szCs w:val="28"/>
        </w:rPr>
        <w:t xml:space="preserve"> 若被检产品明示的质量要求高于本细则中检验项目依据的标准要求时，应按被检产品明示的质量要求判定。</w:t>
      </w:r>
    </w:p>
    <w:p>
      <w:pPr>
        <w:snapToGrid w:val="0"/>
        <w:spacing w:line="360" w:lineRule="auto"/>
        <w:jc w:val="left"/>
        <w:rPr>
          <w:rFonts w:ascii="仿宋_GB2312" w:hAnsi="Times New Roman" w:eastAsia="仿宋_GB2312" w:cs="Sim Sun"/>
          <w:color w:val="auto"/>
          <w:kern w:val="0"/>
          <w:sz w:val="28"/>
          <w:szCs w:val="28"/>
        </w:rPr>
      </w:pPr>
      <w:r>
        <w:rPr>
          <w:rFonts w:hint="eastAsia" w:ascii="仿宋_GB2312" w:hAnsi="Times New Roman" w:eastAsia="仿宋_GB2312" w:cs="Sim Sun"/>
          <w:color w:val="auto"/>
          <w:kern w:val="0"/>
          <w:sz w:val="28"/>
          <w:szCs w:val="28"/>
        </w:rPr>
        <w:t>若被检产品明示的质量要求低于本细则中检验项目依据的强制性标准要求时，应按照强制性标准要求判定。</w:t>
      </w:r>
    </w:p>
    <w:p>
      <w:pPr>
        <w:snapToGrid w:val="0"/>
        <w:spacing w:line="360" w:lineRule="auto"/>
        <w:jc w:val="left"/>
        <w:rPr>
          <w:rFonts w:ascii="仿宋_GB2312" w:hAnsi="Times New Roman" w:eastAsia="仿宋_GB2312" w:cs="Sim Sun"/>
          <w:color w:val="auto"/>
          <w:kern w:val="0"/>
          <w:sz w:val="28"/>
          <w:szCs w:val="28"/>
        </w:rPr>
      </w:pPr>
      <w:r>
        <w:rPr>
          <w:rFonts w:hint="eastAsia" w:ascii="仿宋_GB2312" w:hAnsi="Times New Roman" w:eastAsia="仿宋_GB2312" w:cs="Sim Sun"/>
          <w:color w:val="auto"/>
          <w:kern w:val="0"/>
          <w:sz w:val="28"/>
          <w:szCs w:val="28"/>
        </w:rPr>
        <w:t>若被检产品明示的质量要求低于或包含本细则中检验项目依据的推荐性标准要求时，应以被检产品明示的质量要求判定。</w:t>
      </w:r>
    </w:p>
    <w:p>
      <w:pPr>
        <w:snapToGrid w:val="0"/>
        <w:spacing w:line="360" w:lineRule="auto"/>
        <w:jc w:val="left"/>
        <w:rPr>
          <w:rFonts w:ascii="仿宋_GB2312" w:hAnsi="Times New Roman" w:eastAsia="仿宋_GB2312" w:cs="Sim Sun"/>
          <w:color w:val="auto"/>
          <w:kern w:val="0"/>
          <w:sz w:val="28"/>
          <w:szCs w:val="28"/>
        </w:rPr>
      </w:pPr>
      <w:r>
        <w:rPr>
          <w:rFonts w:hint="eastAsia" w:ascii="仿宋_GB2312" w:hAnsi="Times New Roman" w:eastAsia="仿宋_GB2312" w:cs="Sim Sun"/>
          <w:color w:val="auto"/>
          <w:kern w:val="0"/>
          <w:sz w:val="28"/>
          <w:szCs w:val="28"/>
        </w:rPr>
        <w:t>若被检产品明示的质量要求缺少本细则中检验项目依据的强制性标准要求时，应按照强制性标准要求判定。</w:t>
      </w:r>
    </w:p>
    <w:p>
      <w:pPr>
        <w:snapToGrid w:val="0"/>
        <w:spacing w:line="360" w:lineRule="auto"/>
        <w:jc w:val="left"/>
        <w:rPr>
          <w:rFonts w:ascii="仿宋_GB2312" w:hAnsi="Times New Roman" w:eastAsia="仿宋_GB2312" w:cs="Sim Sun"/>
          <w:color w:val="auto"/>
          <w:kern w:val="0"/>
          <w:sz w:val="28"/>
          <w:szCs w:val="28"/>
        </w:rPr>
      </w:pPr>
      <w:r>
        <w:rPr>
          <w:rFonts w:hint="eastAsia" w:ascii="仿宋_GB2312" w:hAnsi="Times New Roman" w:eastAsia="仿宋_GB2312" w:cs="Sim Sun"/>
          <w:color w:val="auto"/>
          <w:kern w:val="0"/>
          <w:sz w:val="28"/>
          <w:szCs w:val="28"/>
        </w:rPr>
        <w:t>若被检产品明示的质量要求缺少本细则中检验项目依据的推荐性标准要求时，该项目不参与判定，但应在检验报告备注中进行说明。</w:t>
      </w:r>
    </w:p>
    <w:p>
      <w:pPr>
        <w:snapToGrid w:val="0"/>
        <w:spacing w:line="360" w:lineRule="auto"/>
        <w:jc w:val="left"/>
        <w:rPr>
          <w:rFonts w:ascii="仿宋_GB2312" w:hAnsi="Times New Roman" w:eastAsia="仿宋_GB2312" w:cs="Sim Sun"/>
          <w:b/>
          <w:color w:val="auto"/>
          <w:kern w:val="0"/>
          <w:sz w:val="28"/>
          <w:szCs w:val="28"/>
        </w:rPr>
      </w:pPr>
    </w:p>
    <w:p>
      <w:pPr>
        <w:snapToGrid w:val="0"/>
        <w:spacing w:line="360" w:lineRule="auto"/>
        <w:jc w:val="left"/>
        <w:rPr>
          <w:rFonts w:ascii="仿宋_GB2312" w:hAnsi="Times New Roman" w:eastAsia="仿宋_GB2312" w:cs="Sim Sun"/>
          <w:b/>
          <w:color w:val="auto"/>
          <w:kern w:val="0"/>
          <w:sz w:val="28"/>
          <w:szCs w:val="28"/>
        </w:rPr>
      </w:pPr>
      <w:r>
        <w:rPr>
          <w:rFonts w:ascii="仿宋_GB2312" w:hAnsi="Times New Roman" w:eastAsia="仿宋_GB2312" w:cs="Sim Sun"/>
          <w:b/>
          <w:color w:val="auto"/>
          <w:kern w:val="0"/>
          <w:sz w:val="28"/>
          <w:szCs w:val="28"/>
        </w:rPr>
        <w:t>7</w:t>
      </w:r>
      <w:r>
        <w:rPr>
          <w:rFonts w:hint="eastAsia" w:ascii="仿宋_GB2312" w:hAnsi="Times New Roman" w:eastAsia="仿宋_GB2312" w:cs="Sim Sun"/>
          <w:b/>
          <w:color w:val="auto"/>
          <w:kern w:val="0"/>
          <w:sz w:val="28"/>
          <w:szCs w:val="28"/>
        </w:rPr>
        <w:t>.判定原则</w:t>
      </w:r>
    </w:p>
    <w:p>
      <w:pPr>
        <w:snapToGrid w:val="0"/>
        <w:spacing w:line="360" w:lineRule="auto"/>
        <w:ind w:firstLine="600" w:firstLineChars="200"/>
        <w:jc w:val="left"/>
        <w:rPr>
          <w:rFonts w:ascii="仿宋_GB2312" w:hAnsi="Times New Roman" w:eastAsia="仿宋_GB2312" w:cs="Times New Roman"/>
          <w:color w:val="auto"/>
          <w:spacing w:val="10"/>
          <w:sz w:val="28"/>
          <w:szCs w:val="28"/>
        </w:rPr>
      </w:pPr>
      <w:r>
        <w:rPr>
          <w:rFonts w:hint="eastAsia" w:ascii="仿宋_GB2312" w:hAnsi="Times New Roman" w:eastAsia="仿宋_GB2312" w:cs="Times New Roman"/>
          <w:color w:val="auto"/>
          <w:spacing w:val="10"/>
          <w:sz w:val="28"/>
          <w:szCs w:val="28"/>
        </w:rPr>
        <w:t>水泥产品所检项目全部合格，判定该产品本次检验合格；否则,判定该产品本次检验不合格。</w:t>
      </w:r>
    </w:p>
    <w:p>
      <w:pPr>
        <w:snapToGrid w:val="0"/>
        <w:spacing w:line="460" w:lineRule="exact"/>
        <w:ind w:firstLine="420" w:firstLineChars="200"/>
        <w:rPr>
          <w:rFonts w:ascii="宋体" w:hAnsi="宋体"/>
          <w:color w:val="auto"/>
          <w:szCs w:val="21"/>
        </w:rPr>
      </w:pPr>
    </w:p>
    <w:p>
      <w:pPr>
        <w:snapToGrid w:val="0"/>
        <w:spacing w:line="360" w:lineRule="auto"/>
        <w:jc w:val="left"/>
        <w:rPr>
          <w:rFonts w:ascii="仿宋_GB2312" w:hAnsi="Times New Roman" w:eastAsia="仿宋_GB2312" w:cs="Sim Sun"/>
          <w:b/>
          <w:color w:val="auto"/>
          <w:kern w:val="0"/>
          <w:sz w:val="28"/>
          <w:szCs w:val="28"/>
        </w:rPr>
      </w:pPr>
      <w:r>
        <w:rPr>
          <w:rFonts w:ascii="仿宋_GB2312" w:hAnsi="Times New Roman" w:eastAsia="仿宋_GB2312" w:cs="Sim Sun"/>
          <w:b/>
          <w:color w:val="auto"/>
          <w:kern w:val="0"/>
          <w:sz w:val="28"/>
          <w:szCs w:val="28"/>
        </w:rPr>
        <w:t>8</w:t>
      </w:r>
      <w:r>
        <w:rPr>
          <w:rFonts w:hint="eastAsia" w:ascii="仿宋_GB2312" w:hAnsi="Times New Roman" w:eastAsia="仿宋_GB2312" w:cs="Sim Sun"/>
          <w:b/>
          <w:color w:val="auto"/>
          <w:kern w:val="0"/>
          <w:sz w:val="28"/>
          <w:szCs w:val="28"/>
        </w:rPr>
        <w:t>.异议处理</w:t>
      </w:r>
    </w:p>
    <w:p>
      <w:pPr>
        <w:snapToGrid w:val="0"/>
        <w:spacing w:line="360" w:lineRule="auto"/>
        <w:jc w:val="left"/>
        <w:rPr>
          <w:rFonts w:ascii="仿宋_GB2312" w:hAnsi="宋体" w:eastAsia="仿宋_GB2312"/>
          <w:iCs/>
          <w:color w:val="auto"/>
          <w:sz w:val="28"/>
          <w:szCs w:val="28"/>
        </w:rPr>
      </w:pPr>
      <w:r>
        <w:rPr>
          <w:rFonts w:hint="eastAsia" w:ascii="仿宋_GB2312" w:hAnsi="宋体" w:eastAsia="仿宋_GB2312"/>
          <w:b/>
          <w:iCs/>
          <w:color w:val="auto"/>
          <w:sz w:val="28"/>
          <w:szCs w:val="28"/>
        </w:rPr>
        <w:t>8.1</w:t>
      </w:r>
      <w:r>
        <w:rPr>
          <w:rFonts w:hint="eastAsia" w:ascii="仿宋_GB2312" w:hAnsi="宋体" w:eastAsia="仿宋_GB2312"/>
          <w:iCs/>
          <w:color w:val="auto"/>
          <w:sz w:val="28"/>
          <w:szCs w:val="28"/>
        </w:rPr>
        <w:t>被抽查企业在收到检验结果，对结果有异议时，可以自收到检验结果之日起15日内向深圳市市场监督管理局提出书面复检申请。逾期未提出异议的，视为承认检验结果。</w:t>
      </w:r>
    </w:p>
    <w:p>
      <w:pPr>
        <w:snapToGrid w:val="0"/>
        <w:spacing w:line="360" w:lineRule="auto"/>
        <w:rPr>
          <w:rFonts w:ascii="仿宋_GB2312" w:hAnsi="宋体" w:eastAsia="仿宋_GB2312" w:cs="Times New Roman"/>
          <w:iCs/>
          <w:color w:val="auto"/>
          <w:sz w:val="28"/>
          <w:szCs w:val="28"/>
        </w:rPr>
      </w:pPr>
      <w:r>
        <w:rPr>
          <w:rFonts w:hint="eastAsia" w:ascii="仿宋_GB2312" w:hAnsi="宋体" w:eastAsia="仿宋_GB2312" w:cs="Times New Roman"/>
          <w:b/>
          <w:bCs/>
          <w:iCs/>
          <w:color w:val="auto"/>
          <w:sz w:val="28"/>
          <w:szCs w:val="28"/>
          <w:lang w:val="en-US" w:eastAsia="zh-CN"/>
        </w:rPr>
        <w:t>8.2</w:t>
      </w:r>
      <w:r>
        <w:rPr>
          <w:rFonts w:hint="eastAsia" w:ascii="仿宋_GB2312" w:hAnsi="宋体" w:eastAsia="仿宋_GB2312" w:cs="Times New Roman"/>
          <w:iCs/>
          <w:color w:val="auto"/>
          <w:sz w:val="28"/>
          <w:szCs w:val="28"/>
        </w:rPr>
        <w:t>检验机构接到深圳市市场监督管理局的复检通知书后应当按原监督抽查方案，核查不合格项目相关依据，能够以记录（纸质记录或电子记录或影像记录）或与不合格项目相关联的其它质量数据等检验证据证明，并得到被检方认可的，做出维持原检验结果的结论。</w:t>
      </w:r>
    </w:p>
    <w:p>
      <w:pPr>
        <w:snapToGrid w:val="0"/>
        <w:spacing w:line="360" w:lineRule="auto"/>
        <w:rPr>
          <w:rFonts w:ascii="仿宋_GB2312" w:hAnsi="宋体" w:eastAsia="仿宋_GB2312" w:cs="Times New Roman"/>
          <w:iCs/>
          <w:color w:val="auto"/>
          <w:sz w:val="28"/>
          <w:szCs w:val="28"/>
        </w:rPr>
      </w:pPr>
      <w:r>
        <w:rPr>
          <w:rFonts w:hint="eastAsia" w:ascii="仿宋_GB2312" w:hAnsi="宋体" w:eastAsia="仿宋_GB2312" w:cs="Times New Roman"/>
          <w:b/>
          <w:iCs/>
          <w:color w:val="auto"/>
          <w:sz w:val="28"/>
          <w:szCs w:val="28"/>
        </w:rPr>
        <w:t>8.3</w:t>
      </w:r>
      <w:r>
        <w:rPr>
          <w:rFonts w:hint="eastAsia" w:ascii="仿宋_GB2312" w:hAnsi="宋体" w:eastAsia="仿宋_GB2312" w:cs="Times New Roman"/>
          <w:iCs/>
          <w:color w:val="auto"/>
          <w:sz w:val="28"/>
          <w:szCs w:val="28"/>
        </w:rPr>
        <w:t xml:space="preserve"> 复检检验人员与初检检验人员不得为同一人。</w:t>
      </w:r>
    </w:p>
    <w:p>
      <w:pPr>
        <w:snapToGrid w:val="0"/>
        <w:spacing w:line="360" w:lineRule="auto"/>
        <w:rPr>
          <w:rFonts w:ascii="仿宋_GB2312" w:hAnsi="宋体" w:eastAsia="仿宋_GB2312" w:cs="Times New Roman"/>
          <w:iCs/>
          <w:color w:val="auto"/>
          <w:sz w:val="28"/>
          <w:szCs w:val="28"/>
        </w:rPr>
      </w:pPr>
      <w:r>
        <w:rPr>
          <w:rFonts w:hint="eastAsia" w:ascii="仿宋_GB2312" w:hAnsi="宋体" w:eastAsia="仿宋_GB2312" w:cs="Times New Roman"/>
          <w:b/>
          <w:iCs/>
          <w:color w:val="auto"/>
          <w:sz w:val="28"/>
          <w:szCs w:val="28"/>
        </w:rPr>
        <w:t>8.4</w:t>
      </w:r>
      <w:r>
        <w:rPr>
          <w:rFonts w:hint="eastAsia" w:ascii="仿宋_GB2312" w:hAnsi="宋体" w:eastAsia="仿宋_GB2312" w:cs="Times New Roman"/>
          <w:iCs/>
          <w:color w:val="auto"/>
          <w:sz w:val="28"/>
          <w:szCs w:val="28"/>
        </w:rPr>
        <w:t>需对不合格项目复检时，按6.1选择复检样品。当复检结果仍不合格，维持原检验结果不变。当复检结果合格，以复检结果为准。</w:t>
      </w:r>
    </w:p>
    <w:p>
      <w:pPr>
        <w:snapToGrid w:val="0"/>
        <w:spacing w:line="360" w:lineRule="auto"/>
        <w:rPr>
          <w:rFonts w:ascii="仿宋_GB2312" w:hAnsi="宋体" w:eastAsia="仿宋_GB2312"/>
          <w:iCs/>
          <w:color w:val="auto"/>
          <w:sz w:val="28"/>
          <w:szCs w:val="28"/>
        </w:rPr>
      </w:pPr>
      <w:r>
        <w:rPr>
          <w:rFonts w:hint="eastAsia" w:ascii="仿宋_GB2312" w:eastAsia="仿宋_GB2312" w:cs="Sim Sun"/>
          <w:b/>
          <w:iCs/>
          <w:color w:val="auto"/>
          <w:kern w:val="0"/>
          <w:sz w:val="28"/>
          <w:szCs w:val="28"/>
        </w:rPr>
        <w:t>8.</w:t>
      </w:r>
      <w:r>
        <w:rPr>
          <w:rFonts w:ascii="仿宋_GB2312" w:eastAsia="仿宋_GB2312" w:cs="Sim Sun"/>
          <w:b/>
          <w:iCs/>
          <w:color w:val="auto"/>
          <w:kern w:val="0"/>
          <w:sz w:val="28"/>
          <w:szCs w:val="28"/>
        </w:rPr>
        <w:t>5</w:t>
      </w:r>
      <w:r>
        <w:rPr>
          <w:rFonts w:hint="eastAsia" w:ascii="仿宋_GB2312" w:hAnsi="宋体" w:eastAsia="仿宋_GB2312" w:cs="Times New Roman"/>
          <w:iCs/>
          <w:color w:val="auto"/>
          <w:sz w:val="28"/>
          <w:szCs w:val="28"/>
        </w:rPr>
        <w:t>深圳市市场监督管理局根据初检、复检结果及企业提交的证明材料，做出复检结论，复检结论为最终结论。</w:t>
      </w:r>
    </w:p>
    <w:p>
      <w:pPr>
        <w:snapToGrid w:val="0"/>
        <w:spacing w:line="360" w:lineRule="auto"/>
        <w:jc w:val="left"/>
        <w:rPr>
          <w:rFonts w:ascii="仿宋_GB2312" w:hAnsi="宋体" w:eastAsia="仿宋_GB2312"/>
          <w:b/>
          <w:color w:val="auto"/>
          <w:sz w:val="28"/>
          <w:szCs w:val="28"/>
        </w:rPr>
      </w:pPr>
      <w:r>
        <w:rPr>
          <w:rFonts w:hint="eastAsia" w:ascii="仿宋_GB2312" w:hAnsi="宋体" w:eastAsia="仿宋_GB2312"/>
          <w:b/>
          <w:color w:val="auto"/>
          <w:sz w:val="28"/>
          <w:szCs w:val="28"/>
        </w:rPr>
        <w:t>9附则</w:t>
      </w:r>
    </w:p>
    <w:p>
      <w:pPr>
        <w:snapToGrid w:val="0"/>
        <w:spacing w:line="360" w:lineRule="auto"/>
        <w:ind w:firstLine="560" w:firstLineChars="200"/>
        <w:jc w:val="left"/>
        <w:rPr>
          <w:rFonts w:ascii="仿宋_GB2312" w:hAnsi="宋体" w:eastAsia="仿宋_GB2312"/>
          <w:iCs/>
          <w:color w:val="auto"/>
          <w:sz w:val="28"/>
          <w:szCs w:val="28"/>
        </w:rPr>
      </w:pPr>
      <w:r>
        <w:rPr>
          <w:rFonts w:hint="eastAsia" w:ascii="仿宋_GB2312" w:hAnsi="宋体" w:eastAsia="仿宋_GB2312"/>
          <w:iCs/>
          <w:color w:val="auto"/>
          <w:sz w:val="28"/>
          <w:szCs w:val="28"/>
        </w:rPr>
        <w:t>本规范编制单位：广东省梅州市质量计量监督检测所。</w:t>
      </w:r>
    </w:p>
    <w:p>
      <w:pPr>
        <w:widowControl/>
        <w:adjustRightInd w:val="0"/>
        <w:snapToGrid w:val="0"/>
        <w:spacing w:line="640" w:lineRule="exact"/>
        <w:ind w:firstLine="560" w:firstLineChars="200"/>
        <w:jc w:val="left"/>
        <w:rPr>
          <w:rFonts w:ascii="仿宋_GB2312" w:hAnsi="Times New Roman" w:eastAsia="仿宋_GB2312" w:cs="Times New Roman"/>
          <w:color w:val="auto"/>
          <w:kern w:val="0"/>
          <w:sz w:val="32"/>
          <w:szCs w:val="24"/>
        </w:rPr>
      </w:pPr>
      <w:r>
        <w:rPr>
          <w:rFonts w:hint="eastAsia" w:ascii="仿宋_GB2312" w:hAnsi="宋体" w:eastAsia="仿宋_GB2312"/>
          <w:iCs/>
          <w:color w:val="auto"/>
          <w:sz w:val="28"/>
          <w:szCs w:val="28"/>
        </w:rPr>
        <w:t>本规范由深圳市市场监督管理局质量处管理。</w:t>
      </w:r>
      <w:bookmarkStart w:id="0" w:name="_GoBack"/>
      <w:bookmarkEnd w:id="0"/>
    </w:p>
    <w:sectPr>
      <w:pgSz w:w="11906" w:h="16838"/>
      <w:pgMar w:top="1588" w:right="1474" w:bottom="1588" w:left="1474"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Sim Sun">
    <w:altName w:val="宋体"/>
    <w:panose1 w:val="00000000000000000000"/>
    <w:charset w:val="86"/>
    <w:family w:val="swiss"/>
    <w:pitch w:val="default"/>
    <w:sig w:usb0="00000000" w:usb1="00000000" w:usb2="0000001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Segoe Print">
    <w:panose1 w:val="02000600000000000000"/>
    <w:charset w:val="00"/>
    <w:family w:val="auto"/>
    <w:pitch w:val="default"/>
    <w:sig w:usb0="0000028F" w:usb1="00000000" w:usb2="00000000" w:usb3="00000000" w:csb0="2000009F" w:csb1="47010000"/>
  </w:font>
  <w:font w:name="方正仿宋简体">
    <w:altName w:val="Arial Unicode MS"/>
    <w:panose1 w:val="00000000000000000000"/>
    <w:charset w:val="86"/>
    <w:family w:val="script"/>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Calibri Light">
    <w:panose1 w:val="020F0302020204030204"/>
    <w:charset w:val="00"/>
    <w:family w:val="swiss"/>
    <w:pitch w:val="default"/>
    <w:sig w:usb0="A00002EF" w:usb1="4000207B" w:usb2="00000000" w:usb3="00000000" w:csb0="2000019F"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C13C8E"/>
    <w:multiLevelType w:val="multilevel"/>
    <w:tmpl w:val="6EC13C8E"/>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E85"/>
    <w:rsid w:val="000174A5"/>
    <w:rsid w:val="0002659B"/>
    <w:rsid w:val="000B78CE"/>
    <w:rsid w:val="001035E5"/>
    <w:rsid w:val="00294B4B"/>
    <w:rsid w:val="002E19D4"/>
    <w:rsid w:val="002F45D2"/>
    <w:rsid w:val="00344140"/>
    <w:rsid w:val="00377CA5"/>
    <w:rsid w:val="003B4897"/>
    <w:rsid w:val="003D6A5A"/>
    <w:rsid w:val="00403911"/>
    <w:rsid w:val="00403E59"/>
    <w:rsid w:val="00407FAC"/>
    <w:rsid w:val="00437B67"/>
    <w:rsid w:val="004946F0"/>
    <w:rsid w:val="004E2907"/>
    <w:rsid w:val="004E6EA0"/>
    <w:rsid w:val="00531B04"/>
    <w:rsid w:val="005460E0"/>
    <w:rsid w:val="00550730"/>
    <w:rsid w:val="005575FF"/>
    <w:rsid w:val="005C3A55"/>
    <w:rsid w:val="005E45D0"/>
    <w:rsid w:val="006A6D51"/>
    <w:rsid w:val="006B5224"/>
    <w:rsid w:val="006B5B45"/>
    <w:rsid w:val="007B4FB6"/>
    <w:rsid w:val="007D24D2"/>
    <w:rsid w:val="007E0472"/>
    <w:rsid w:val="007E3D53"/>
    <w:rsid w:val="008D0B85"/>
    <w:rsid w:val="00900C20"/>
    <w:rsid w:val="00901D19"/>
    <w:rsid w:val="00902DDC"/>
    <w:rsid w:val="00903EAE"/>
    <w:rsid w:val="00932DEA"/>
    <w:rsid w:val="00A07FEC"/>
    <w:rsid w:val="00A25EDE"/>
    <w:rsid w:val="00A43CCF"/>
    <w:rsid w:val="00A51CCB"/>
    <w:rsid w:val="00A91968"/>
    <w:rsid w:val="00A9689D"/>
    <w:rsid w:val="00AD0B7D"/>
    <w:rsid w:val="00B51CD6"/>
    <w:rsid w:val="00B5393F"/>
    <w:rsid w:val="00BC5900"/>
    <w:rsid w:val="00BE02F4"/>
    <w:rsid w:val="00BE321F"/>
    <w:rsid w:val="00C10A54"/>
    <w:rsid w:val="00C3639E"/>
    <w:rsid w:val="00C44BF7"/>
    <w:rsid w:val="00C5345D"/>
    <w:rsid w:val="00C7738B"/>
    <w:rsid w:val="00C77B1F"/>
    <w:rsid w:val="00C80FF2"/>
    <w:rsid w:val="00C87E78"/>
    <w:rsid w:val="00CE619D"/>
    <w:rsid w:val="00CF4D45"/>
    <w:rsid w:val="00D00E85"/>
    <w:rsid w:val="00D926B8"/>
    <w:rsid w:val="00DA7435"/>
    <w:rsid w:val="00E45389"/>
    <w:rsid w:val="00E51CD4"/>
    <w:rsid w:val="00E537F6"/>
    <w:rsid w:val="00E70FDF"/>
    <w:rsid w:val="00EE4453"/>
    <w:rsid w:val="00F03842"/>
    <w:rsid w:val="00F12F55"/>
    <w:rsid w:val="00F217B4"/>
    <w:rsid w:val="00FE3F32"/>
    <w:rsid w:val="07B239E2"/>
    <w:rsid w:val="0AC97035"/>
    <w:rsid w:val="0F983859"/>
    <w:rsid w:val="20B818FE"/>
    <w:rsid w:val="230B6FE7"/>
    <w:rsid w:val="36B8748A"/>
    <w:rsid w:val="3BAE6A51"/>
    <w:rsid w:val="4FCD5CDD"/>
    <w:rsid w:val="64E33C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4"/>
    <w:link w:val="3"/>
    <w:qFormat/>
    <w:uiPriority w:val="99"/>
    <w:rPr>
      <w:sz w:val="18"/>
      <w:szCs w:val="18"/>
    </w:rPr>
  </w:style>
  <w:style w:type="character" w:customStyle="1" w:styleId="7">
    <w:name w:val="页脚 字符"/>
    <w:basedOn w:val="4"/>
    <w:link w:val="2"/>
    <w:qFormat/>
    <w:uiPriority w:val="99"/>
    <w:rPr>
      <w:sz w:val="18"/>
      <w:szCs w:val="18"/>
    </w:rPr>
  </w:style>
  <w:style w:type="paragraph" w:customStyle="1" w:styleId="8">
    <w:name w:val="公文"/>
    <w:basedOn w:val="1"/>
    <w:qFormat/>
    <w:uiPriority w:val="0"/>
    <w:pPr>
      <w:widowControl/>
      <w:adjustRightInd w:val="0"/>
      <w:snapToGrid w:val="0"/>
      <w:spacing w:beforeLines="25" w:afterLines="35"/>
      <w:ind w:firstLine="200" w:firstLineChars="200"/>
      <w:jc w:val="left"/>
    </w:pPr>
    <w:rPr>
      <w:rFonts w:ascii="仿宋_GB2312" w:hAnsi="Times New Roman" w:eastAsia="仿宋_GB2312" w:cs="Times New Roman"/>
      <w:bCs/>
      <w:kern w:val="0"/>
      <w:sz w:val="32"/>
      <w:szCs w:val="24"/>
    </w:rPr>
  </w:style>
  <w:style w:type="paragraph" w:customStyle="1" w:styleId="9">
    <w:name w:val="Char"/>
    <w:basedOn w:val="1"/>
    <w:qFormat/>
    <w:uiPriority w:val="0"/>
    <w:rPr>
      <w:rFonts w:ascii="Tahoma" w:hAnsi="Tahoma" w:eastAsia="宋体" w:cs="Times New Roman"/>
      <w:sz w:val="24"/>
      <w:szCs w:val="20"/>
    </w:rPr>
  </w:style>
  <w:style w:type="paragraph" w:customStyle="1"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1396</Words>
  <Characters>7962</Characters>
  <Lines>66</Lines>
  <Paragraphs>18</Paragraphs>
  <ScaleCrop>false</ScaleCrop>
  <LinksUpToDate>false</LinksUpToDate>
  <CharactersWithSpaces>9340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2019-08-26T15:30:00Z</dcterms:created>
  <dc:creator>黄定策</dc:creator>
  <cp:lastModifiedBy>常孟园</cp:lastModifiedBy>
  <dcterms:modified xsi:type="dcterms:W3CDTF">2019-09-04T06:45:56Z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