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kern w:val="0"/>
          <w:sz w:val="36"/>
          <w:szCs w:val="36"/>
        </w:rPr>
      </w:pPr>
      <w:r>
        <w:rPr>
          <w:rFonts w:hint="eastAsia" w:ascii="黑体" w:hAnsi="黑体" w:eastAsia="黑体"/>
          <w:kern w:val="0"/>
          <w:sz w:val="36"/>
          <w:szCs w:val="36"/>
        </w:rPr>
        <w:t>足浴盆、按摩器产品质量监督抽查实施规范</w:t>
      </w:r>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086</w:t>
      </w:r>
      <w:r>
        <w:rPr>
          <w:rFonts w:ascii="黑体" w:hAnsi="黑体" w:eastAsia="黑体"/>
          <w:sz w:val="28"/>
        </w:rPr>
        <w:t>-</w:t>
      </w:r>
      <w:r>
        <w:rPr>
          <w:rFonts w:hint="eastAsia" w:ascii="黑体" w:hAnsi="黑体" w:eastAsia="黑体"/>
          <w:sz w:val="28"/>
        </w:rPr>
        <w:t>2019</w:t>
      </w:r>
    </w:p>
    <w:p>
      <w:pPr>
        <w:snapToGrid w:val="0"/>
        <w:spacing w:line="360" w:lineRule="auto"/>
        <w:rPr>
          <w:rFonts w:ascii="宋体" w:hAnsi="宋体" w:eastAsia="宋体" w:cs="Times New Roman"/>
          <w:sz w:val="24"/>
        </w:rPr>
      </w:pPr>
      <w:bookmarkStart w:id="0" w:name="_GoBack"/>
      <w:bookmarkEnd w:id="0"/>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本规范适用于深圳市生产及流通领域足浴盆、按摩器产品质量监督抽查。监督抽查产品范围适用于：足浴盆、按摩器产品。</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 xml:space="preserve">产品种类见表1。      </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6"/>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足浴盆</w:t>
            </w:r>
          </w:p>
        </w:tc>
        <w:tc>
          <w:tcPr>
            <w:tcW w:w="6305"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cs="Times New Roman"/>
                <w:sz w:val="24"/>
                <w:szCs w:val="21"/>
              </w:rPr>
              <w:t>一体式足浴盆、分体式足浴盆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按摩器</w:t>
            </w:r>
          </w:p>
        </w:tc>
        <w:tc>
          <w:tcPr>
            <w:tcW w:w="6305" w:type="dxa"/>
            <w:vAlign w:val="center"/>
          </w:tcPr>
          <w:p>
            <w:pPr>
              <w:autoSpaceDE w:val="0"/>
              <w:autoSpaceDN w:val="0"/>
              <w:adjustRightInd w:val="0"/>
              <w:spacing w:line="300" w:lineRule="exact"/>
              <w:rPr>
                <w:rFonts w:ascii="仿宋_GB2312" w:hAnsi="宋体" w:eastAsia="仿宋_GB2312" w:cs="Times New Roman"/>
                <w:sz w:val="24"/>
                <w:szCs w:val="21"/>
              </w:rPr>
            </w:pPr>
            <w:r>
              <w:rPr>
                <w:rFonts w:hint="eastAsia" w:ascii="仿宋_GB2312" w:hAnsi="宋体" w:eastAsia="仿宋_GB2312" w:cs="Times New Roman"/>
                <w:sz w:val="24"/>
                <w:szCs w:val="21"/>
              </w:rPr>
              <w:t>手持式按摩器、按摩床、按摩带、按摩椅、按摩垫</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6"/>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足浴盆</w:t>
            </w:r>
          </w:p>
        </w:tc>
        <w:tc>
          <w:tcPr>
            <w:tcW w:w="6447" w:type="dxa"/>
            <w:vAlign w:val="center"/>
          </w:tcPr>
          <w:p>
            <w:pPr>
              <w:snapToGrid w:val="0"/>
              <w:spacing w:line="300" w:lineRule="exact"/>
              <w:rPr>
                <w:rFonts w:ascii="仿宋_GB2312" w:hAnsi="宋体" w:eastAsia="仿宋_GB2312"/>
                <w:sz w:val="24"/>
                <w:szCs w:val="21"/>
              </w:rPr>
            </w:pPr>
            <w:r>
              <w:rPr>
                <w:rFonts w:hint="eastAsia" w:ascii="仿宋_GB2312" w:hAnsi="宋体" w:eastAsia="仿宋_GB2312" w:cs="Times New Roman"/>
                <w:sz w:val="24"/>
                <w:szCs w:val="21"/>
              </w:rPr>
              <w:t>带保温按摩功能的足部冲洗产品。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按摩器</w:t>
            </w:r>
          </w:p>
        </w:tc>
        <w:tc>
          <w:tcPr>
            <w:tcW w:w="6447" w:type="dxa"/>
            <w:vAlign w:val="center"/>
          </w:tcPr>
          <w:p>
            <w:pPr>
              <w:snapToGrid w:val="0"/>
              <w:spacing w:line="300" w:lineRule="exact"/>
              <w:rPr>
                <w:rFonts w:ascii="仿宋_GB2312" w:hAnsi="宋体" w:eastAsia="仿宋_GB2312" w:cs="Times New Roman"/>
                <w:sz w:val="24"/>
                <w:szCs w:val="21"/>
              </w:rPr>
            </w:pPr>
            <w:r>
              <w:rPr>
                <w:rFonts w:hint="eastAsia" w:ascii="仿宋_GB2312" w:hAnsi="宋体" w:eastAsia="仿宋_GB2312"/>
                <w:sz w:val="24"/>
                <w:szCs w:val="21"/>
              </w:rPr>
              <w:t>单相交流额定电压不超过250V，其他器具额定电压不超过480V的家用或类似用途的机械振动式的按摩器具。</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453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51"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53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502"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rPr>
                <w:rFonts w:ascii="仿宋_GB2312" w:hAnsi="宋体" w:eastAsia="仿宋_GB2312" w:cs="Times New Roman"/>
                <w:sz w:val="24"/>
                <w:szCs w:val="21"/>
              </w:rPr>
            </w:pPr>
            <w:r>
              <w:rPr>
                <w:rFonts w:ascii="仿宋_GB2312" w:hAnsi="宋体" w:eastAsia="仿宋_GB2312" w:cs="Times New Roman"/>
                <w:sz w:val="24"/>
                <w:szCs w:val="21"/>
              </w:rPr>
              <w:t xml:space="preserve">GB </w:t>
            </w:r>
            <w:r>
              <w:rPr>
                <w:rFonts w:hint="eastAsia" w:ascii="仿宋_GB2312" w:hAnsi="宋体" w:eastAsia="仿宋_GB2312" w:cs="Times New Roman"/>
                <w:sz w:val="24"/>
                <w:szCs w:val="21"/>
              </w:rPr>
              <w:t>4706.1-2005</w:t>
            </w:r>
          </w:p>
        </w:tc>
        <w:tc>
          <w:tcPr>
            <w:tcW w:w="4536"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第1部分：通用要求》</w:t>
            </w:r>
          </w:p>
        </w:tc>
        <w:tc>
          <w:tcPr>
            <w:tcW w:w="2502"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rPr>
                <w:rFonts w:ascii="仿宋_GB2312" w:hAnsi="宋体" w:eastAsia="仿宋_GB2312" w:cs="Times New Roman"/>
                <w:sz w:val="24"/>
                <w:szCs w:val="21"/>
              </w:rPr>
            </w:pPr>
            <w:r>
              <w:rPr>
                <w:rFonts w:ascii="仿宋_GB2312" w:hAnsi="宋体" w:eastAsia="仿宋_GB2312" w:cs="Times New Roman"/>
                <w:sz w:val="24"/>
                <w:szCs w:val="21"/>
              </w:rPr>
              <w:t xml:space="preserve">GB </w:t>
            </w:r>
            <w:r>
              <w:rPr>
                <w:rFonts w:hint="eastAsia" w:ascii="仿宋_GB2312" w:hAnsi="宋体" w:eastAsia="仿宋_GB2312" w:cs="Times New Roman"/>
                <w:sz w:val="24"/>
                <w:szCs w:val="21"/>
              </w:rPr>
              <w:t>4706.10-2008</w:t>
            </w:r>
          </w:p>
        </w:tc>
        <w:tc>
          <w:tcPr>
            <w:tcW w:w="4536"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按摩器具的特殊要求》</w:t>
            </w:r>
          </w:p>
        </w:tc>
        <w:tc>
          <w:tcPr>
            <w:tcW w:w="2502"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w:t>
      </w:r>
      <w:r>
        <w:rPr>
          <w:rFonts w:hint="eastAsia" w:ascii="仿宋_GB2312" w:hAnsi="宋体" w:eastAsia="仿宋_GB2312" w:cs="Times New Roman"/>
          <w:color w:val="000000" w:themeColor="text1"/>
          <w:sz w:val="28"/>
          <w:szCs w:val="28"/>
        </w:rPr>
        <w:t>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生产领域：随机抽取同一规格型号的2台样品，1台作为检验样品带回承检机构，1台作为备用样品封存于承检机构；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5.5.3</w:t>
      </w:r>
      <w:r>
        <w:rPr>
          <w:rFonts w:hint="eastAsia" w:ascii="仿宋_GB2312" w:hAnsi="Calibri" w:eastAsia="仿宋_GB2312" w:cs="Times New Roman"/>
          <w:sz w:val="28"/>
          <w:szCs w:val="28"/>
        </w:rPr>
        <w:t>抽取产品时，需要抽取产品相应的配套附件，例如充电器、说明书、保修卡等。</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tbl>
      <w:tblPr>
        <w:tblStyle w:val="16"/>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54"/>
        <w:gridCol w:w="2627"/>
        <w:gridCol w:w="1265"/>
        <w:gridCol w:w="254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96"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序号</w:t>
            </w:r>
          </w:p>
        </w:tc>
        <w:tc>
          <w:tcPr>
            <w:tcW w:w="1554"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检验项目</w:t>
            </w:r>
          </w:p>
        </w:tc>
        <w:tc>
          <w:tcPr>
            <w:tcW w:w="2627" w:type="dxa"/>
            <w:vAlign w:val="center"/>
          </w:tcPr>
          <w:p>
            <w:pPr>
              <w:snapToGrid w:val="0"/>
              <w:spacing w:line="280" w:lineRule="exact"/>
              <w:jc w:val="center"/>
              <w:rPr>
                <w:rFonts w:ascii="黑体" w:hAnsi="黑体" w:eastAsia="黑体" w:cs="Times New Roman"/>
                <w:sz w:val="24"/>
                <w:szCs w:val="21"/>
                <w:vertAlign w:val="superscript"/>
              </w:rPr>
            </w:pPr>
            <w:r>
              <w:rPr>
                <w:rFonts w:hint="eastAsia" w:ascii="黑体" w:hAnsi="黑体" w:eastAsia="黑体" w:cs="Times New Roman"/>
                <w:sz w:val="24"/>
                <w:szCs w:val="21"/>
              </w:rPr>
              <w:t>检测依据</w:t>
            </w:r>
          </w:p>
        </w:tc>
        <w:tc>
          <w:tcPr>
            <w:tcW w:w="1265"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项目性质</w:t>
            </w:r>
          </w:p>
        </w:tc>
        <w:tc>
          <w:tcPr>
            <w:tcW w:w="2541"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检测</w:t>
            </w:r>
            <w:r>
              <w:rPr>
                <w:rFonts w:hint="eastAsia" w:ascii="黑体" w:hAnsi="黑体" w:eastAsia="黑体" w:cs="Times New Roman"/>
                <w:sz w:val="24"/>
              </w:rPr>
              <w:t>方法</w:t>
            </w:r>
          </w:p>
        </w:tc>
        <w:tc>
          <w:tcPr>
            <w:tcW w:w="884"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标志和说明</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7</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7</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对触及带电部件的防护</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8</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8</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电动器具的启动</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9</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9</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输入功率和电流</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10</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4706.10-2008 10</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发热</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11</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11</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工作温度下的泄漏电流和电气强度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13</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13</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瞬态过电压</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14</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14</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耐潮湿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15</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15</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泄漏电流和电气强度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16</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16</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变压器和相关电路的过载保护</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17</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17</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耐久性</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18</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18</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非正常工作（不包括19.11.4）</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19</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19</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稳定性和机械危险</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20</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20</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机械强度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21</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21</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结构（不包括22.46（含附录R））</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22</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22</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内部布线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23</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23</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元件</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24</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24</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电源连接及外部软线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25</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25</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外部导线用接线端子</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26</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26</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接地措施</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27</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27</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螺钉和连接</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28</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28</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22</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电气间隙、爬电距离和固体绝缘</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29</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29</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23</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耐热和耐燃</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30</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30</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24</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防锈</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31</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31</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辐射、毒性和类似危险</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32</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4706.10-2008 32</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pPr>
        <w:widowControl/>
        <w:jc w:val="left"/>
      </w:pPr>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2BF"/>
    <w:rsid w:val="00001787"/>
    <w:rsid w:val="00010E99"/>
    <w:rsid w:val="000110AA"/>
    <w:rsid w:val="0001674B"/>
    <w:rsid w:val="00033972"/>
    <w:rsid w:val="0005794C"/>
    <w:rsid w:val="000674CE"/>
    <w:rsid w:val="00067AC0"/>
    <w:rsid w:val="00076715"/>
    <w:rsid w:val="00077B79"/>
    <w:rsid w:val="00077BBF"/>
    <w:rsid w:val="00082B83"/>
    <w:rsid w:val="000B131A"/>
    <w:rsid w:val="000B16D8"/>
    <w:rsid w:val="000B210F"/>
    <w:rsid w:val="000B2AF5"/>
    <w:rsid w:val="000C4BE1"/>
    <w:rsid w:val="000C547A"/>
    <w:rsid w:val="000D0D07"/>
    <w:rsid w:val="000D530A"/>
    <w:rsid w:val="000E438D"/>
    <w:rsid w:val="00102698"/>
    <w:rsid w:val="00102737"/>
    <w:rsid w:val="00114185"/>
    <w:rsid w:val="001151E9"/>
    <w:rsid w:val="00121663"/>
    <w:rsid w:val="001259A6"/>
    <w:rsid w:val="0012634A"/>
    <w:rsid w:val="00130417"/>
    <w:rsid w:val="00146DDE"/>
    <w:rsid w:val="0018554E"/>
    <w:rsid w:val="001862D7"/>
    <w:rsid w:val="00186528"/>
    <w:rsid w:val="00186940"/>
    <w:rsid w:val="00192EB6"/>
    <w:rsid w:val="001A0E1F"/>
    <w:rsid w:val="001A1E04"/>
    <w:rsid w:val="001B619C"/>
    <w:rsid w:val="001D1CAA"/>
    <w:rsid w:val="001D4B33"/>
    <w:rsid w:val="001D569E"/>
    <w:rsid w:val="001E4633"/>
    <w:rsid w:val="001F1BB9"/>
    <w:rsid w:val="00200B36"/>
    <w:rsid w:val="002038B4"/>
    <w:rsid w:val="002073BD"/>
    <w:rsid w:val="002267ED"/>
    <w:rsid w:val="0024599A"/>
    <w:rsid w:val="00255F86"/>
    <w:rsid w:val="00281141"/>
    <w:rsid w:val="00286422"/>
    <w:rsid w:val="0029204E"/>
    <w:rsid w:val="002D78C8"/>
    <w:rsid w:val="002E6260"/>
    <w:rsid w:val="002F121A"/>
    <w:rsid w:val="002F349C"/>
    <w:rsid w:val="002F6648"/>
    <w:rsid w:val="00301611"/>
    <w:rsid w:val="003126F2"/>
    <w:rsid w:val="00313C47"/>
    <w:rsid w:val="00315334"/>
    <w:rsid w:val="00320794"/>
    <w:rsid w:val="00323C30"/>
    <w:rsid w:val="00324480"/>
    <w:rsid w:val="00326A6F"/>
    <w:rsid w:val="003364DB"/>
    <w:rsid w:val="00353E80"/>
    <w:rsid w:val="003578FE"/>
    <w:rsid w:val="00357D4E"/>
    <w:rsid w:val="00372B20"/>
    <w:rsid w:val="00380862"/>
    <w:rsid w:val="00382114"/>
    <w:rsid w:val="00387351"/>
    <w:rsid w:val="0039238C"/>
    <w:rsid w:val="003A60F9"/>
    <w:rsid w:val="003A71FB"/>
    <w:rsid w:val="003A7CCC"/>
    <w:rsid w:val="003B058E"/>
    <w:rsid w:val="003B6350"/>
    <w:rsid w:val="003C05EF"/>
    <w:rsid w:val="003C4820"/>
    <w:rsid w:val="003D65ED"/>
    <w:rsid w:val="003D6823"/>
    <w:rsid w:val="003D7F33"/>
    <w:rsid w:val="003E1FE8"/>
    <w:rsid w:val="003E71F8"/>
    <w:rsid w:val="003E76B9"/>
    <w:rsid w:val="00412A40"/>
    <w:rsid w:val="00413772"/>
    <w:rsid w:val="00427349"/>
    <w:rsid w:val="00435FC8"/>
    <w:rsid w:val="00440698"/>
    <w:rsid w:val="0044674D"/>
    <w:rsid w:val="0044778D"/>
    <w:rsid w:val="00456B19"/>
    <w:rsid w:val="004606F2"/>
    <w:rsid w:val="004775C0"/>
    <w:rsid w:val="00487D14"/>
    <w:rsid w:val="00490A30"/>
    <w:rsid w:val="004A1CEA"/>
    <w:rsid w:val="004A2011"/>
    <w:rsid w:val="004A25F4"/>
    <w:rsid w:val="004A41CD"/>
    <w:rsid w:val="004A4F0B"/>
    <w:rsid w:val="004A71BA"/>
    <w:rsid w:val="004B314F"/>
    <w:rsid w:val="004B39BB"/>
    <w:rsid w:val="004C2C36"/>
    <w:rsid w:val="004C4B4E"/>
    <w:rsid w:val="004D0AFB"/>
    <w:rsid w:val="004D2D47"/>
    <w:rsid w:val="004D7E71"/>
    <w:rsid w:val="004E00F7"/>
    <w:rsid w:val="004E4C6D"/>
    <w:rsid w:val="004F46AD"/>
    <w:rsid w:val="0050038E"/>
    <w:rsid w:val="00503D25"/>
    <w:rsid w:val="0052200F"/>
    <w:rsid w:val="00522637"/>
    <w:rsid w:val="00527C1E"/>
    <w:rsid w:val="005311E4"/>
    <w:rsid w:val="005348AA"/>
    <w:rsid w:val="00562E6F"/>
    <w:rsid w:val="005751C7"/>
    <w:rsid w:val="0058247F"/>
    <w:rsid w:val="005877EB"/>
    <w:rsid w:val="00592A95"/>
    <w:rsid w:val="005A27AF"/>
    <w:rsid w:val="005B3DFA"/>
    <w:rsid w:val="005B6033"/>
    <w:rsid w:val="005B6579"/>
    <w:rsid w:val="005C3281"/>
    <w:rsid w:val="005C7CE2"/>
    <w:rsid w:val="005D2713"/>
    <w:rsid w:val="005D3BB6"/>
    <w:rsid w:val="005D674E"/>
    <w:rsid w:val="005E3E61"/>
    <w:rsid w:val="006011D5"/>
    <w:rsid w:val="00601E00"/>
    <w:rsid w:val="006045D8"/>
    <w:rsid w:val="0062629C"/>
    <w:rsid w:val="006273E9"/>
    <w:rsid w:val="00631657"/>
    <w:rsid w:val="00655194"/>
    <w:rsid w:val="0065526C"/>
    <w:rsid w:val="006651B7"/>
    <w:rsid w:val="00666091"/>
    <w:rsid w:val="0067303B"/>
    <w:rsid w:val="00682915"/>
    <w:rsid w:val="006A417C"/>
    <w:rsid w:val="006A4F67"/>
    <w:rsid w:val="006D2EAA"/>
    <w:rsid w:val="006D57A9"/>
    <w:rsid w:val="006E3BEE"/>
    <w:rsid w:val="00703B9A"/>
    <w:rsid w:val="007062C8"/>
    <w:rsid w:val="0071466C"/>
    <w:rsid w:val="0071627B"/>
    <w:rsid w:val="00727420"/>
    <w:rsid w:val="00734FA0"/>
    <w:rsid w:val="00742FA0"/>
    <w:rsid w:val="00743E75"/>
    <w:rsid w:val="00744887"/>
    <w:rsid w:val="00750ECF"/>
    <w:rsid w:val="00753278"/>
    <w:rsid w:val="00754034"/>
    <w:rsid w:val="00755A70"/>
    <w:rsid w:val="00755EEF"/>
    <w:rsid w:val="00757D04"/>
    <w:rsid w:val="00766A01"/>
    <w:rsid w:val="007712E8"/>
    <w:rsid w:val="007967FD"/>
    <w:rsid w:val="007A6A11"/>
    <w:rsid w:val="007C3A6A"/>
    <w:rsid w:val="007C5301"/>
    <w:rsid w:val="007D4F72"/>
    <w:rsid w:val="007D7F57"/>
    <w:rsid w:val="0080035A"/>
    <w:rsid w:val="00803BB7"/>
    <w:rsid w:val="00812147"/>
    <w:rsid w:val="008162A2"/>
    <w:rsid w:val="008230DD"/>
    <w:rsid w:val="00824487"/>
    <w:rsid w:val="00825132"/>
    <w:rsid w:val="00841833"/>
    <w:rsid w:val="00846E02"/>
    <w:rsid w:val="00847DE7"/>
    <w:rsid w:val="00874B2A"/>
    <w:rsid w:val="0088232D"/>
    <w:rsid w:val="00882FF8"/>
    <w:rsid w:val="00885DF0"/>
    <w:rsid w:val="0088681C"/>
    <w:rsid w:val="00890274"/>
    <w:rsid w:val="00895F13"/>
    <w:rsid w:val="008B5C8A"/>
    <w:rsid w:val="008C0AC5"/>
    <w:rsid w:val="008C2C04"/>
    <w:rsid w:val="008C471C"/>
    <w:rsid w:val="008C6203"/>
    <w:rsid w:val="008F0EEA"/>
    <w:rsid w:val="008F2CA7"/>
    <w:rsid w:val="00901792"/>
    <w:rsid w:val="00907075"/>
    <w:rsid w:val="00913444"/>
    <w:rsid w:val="009152A1"/>
    <w:rsid w:val="009232F7"/>
    <w:rsid w:val="00932E25"/>
    <w:rsid w:val="009403BD"/>
    <w:rsid w:val="00947304"/>
    <w:rsid w:val="009664F0"/>
    <w:rsid w:val="00976EDC"/>
    <w:rsid w:val="0098358F"/>
    <w:rsid w:val="00992DF9"/>
    <w:rsid w:val="009973AF"/>
    <w:rsid w:val="009A060C"/>
    <w:rsid w:val="009A1678"/>
    <w:rsid w:val="009A6B9A"/>
    <w:rsid w:val="009A7189"/>
    <w:rsid w:val="009B450E"/>
    <w:rsid w:val="009C0651"/>
    <w:rsid w:val="009C261D"/>
    <w:rsid w:val="009D343A"/>
    <w:rsid w:val="009E1028"/>
    <w:rsid w:val="009F0A2C"/>
    <w:rsid w:val="009F52B0"/>
    <w:rsid w:val="00A028AC"/>
    <w:rsid w:val="00A2052A"/>
    <w:rsid w:val="00A27882"/>
    <w:rsid w:val="00A33E41"/>
    <w:rsid w:val="00A41155"/>
    <w:rsid w:val="00A42A5F"/>
    <w:rsid w:val="00A439D1"/>
    <w:rsid w:val="00A464EE"/>
    <w:rsid w:val="00A51CA7"/>
    <w:rsid w:val="00A52351"/>
    <w:rsid w:val="00A63279"/>
    <w:rsid w:val="00A63B94"/>
    <w:rsid w:val="00A671BD"/>
    <w:rsid w:val="00A67DEF"/>
    <w:rsid w:val="00A8004D"/>
    <w:rsid w:val="00A80C1A"/>
    <w:rsid w:val="00A82846"/>
    <w:rsid w:val="00A83288"/>
    <w:rsid w:val="00A85701"/>
    <w:rsid w:val="00A85A10"/>
    <w:rsid w:val="00AA7007"/>
    <w:rsid w:val="00AB208E"/>
    <w:rsid w:val="00AB2A12"/>
    <w:rsid w:val="00AB5EA8"/>
    <w:rsid w:val="00AC47DC"/>
    <w:rsid w:val="00AC7B06"/>
    <w:rsid w:val="00AD21EC"/>
    <w:rsid w:val="00AF65D0"/>
    <w:rsid w:val="00B052A5"/>
    <w:rsid w:val="00B07E16"/>
    <w:rsid w:val="00B227C1"/>
    <w:rsid w:val="00B24559"/>
    <w:rsid w:val="00B24D2A"/>
    <w:rsid w:val="00B25008"/>
    <w:rsid w:val="00B300E3"/>
    <w:rsid w:val="00B31764"/>
    <w:rsid w:val="00B32A48"/>
    <w:rsid w:val="00B33B24"/>
    <w:rsid w:val="00B37FCA"/>
    <w:rsid w:val="00B46780"/>
    <w:rsid w:val="00B57B21"/>
    <w:rsid w:val="00B66417"/>
    <w:rsid w:val="00B70E3A"/>
    <w:rsid w:val="00B722BF"/>
    <w:rsid w:val="00B75063"/>
    <w:rsid w:val="00B935D9"/>
    <w:rsid w:val="00B94D91"/>
    <w:rsid w:val="00B96FBE"/>
    <w:rsid w:val="00BB05AE"/>
    <w:rsid w:val="00BB1001"/>
    <w:rsid w:val="00BB4C46"/>
    <w:rsid w:val="00BC124A"/>
    <w:rsid w:val="00BC23D8"/>
    <w:rsid w:val="00BD072E"/>
    <w:rsid w:val="00BE085C"/>
    <w:rsid w:val="00BE2755"/>
    <w:rsid w:val="00BE57B5"/>
    <w:rsid w:val="00BF0FA8"/>
    <w:rsid w:val="00BF36A5"/>
    <w:rsid w:val="00BF7E83"/>
    <w:rsid w:val="00C014D9"/>
    <w:rsid w:val="00C109ED"/>
    <w:rsid w:val="00C12E1A"/>
    <w:rsid w:val="00C136FC"/>
    <w:rsid w:val="00C13DF4"/>
    <w:rsid w:val="00C14538"/>
    <w:rsid w:val="00C17243"/>
    <w:rsid w:val="00C23698"/>
    <w:rsid w:val="00C260D9"/>
    <w:rsid w:val="00C30CA6"/>
    <w:rsid w:val="00C33661"/>
    <w:rsid w:val="00C42E9B"/>
    <w:rsid w:val="00C44636"/>
    <w:rsid w:val="00C45264"/>
    <w:rsid w:val="00C45ABB"/>
    <w:rsid w:val="00C47895"/>
    <w:rsid w:val="00C52091"/>
    <w:rsid w:val="00C5373D"/>
    <w:rsid w:val="00C5446A"/>
    <w:rsid w:val="00C96D66"/>
    <w:rsid w:val="00CA5324"/>
    <w:rsid w:val="00CB12F4"/>
    <w:rsid w:val="00CB2D77"/>
    <w:rsid w:val="00CB75C0"/>
    <w:rsid w:val="00CC01C2"/>
    <w:rsid w:val="00CC092D"/>
    <w:rsid w:val="00CD4E79"/>
    <w:rsid w:val="00CE55E0"/>
    <w:rsid w:val="00CF4454"/>
    <w:rsid w:val="00D03906"/>
    <w:rsid w:val="00D13790"/>
    <w:rsid w:val="00D24F56"/>
    <w:rsid w:val="00D260CD"/>
    <w:rsid w:val="00D331DE"/>
    <w:rsid w:val="00D425EA"/>
    <w:rsid w:val="00D500BC"/>
    <w:rsid w:val="00D56744"/>
    <w:rsid w:val="00D73287"/>
    <w:rsid w:val="00D810BB"/>
    <w:rsid w:val="00D82BC2"/>
    <w:rsid w:val="00D84894"/>
    <w:rsid w:val="00D85A20"/>
    <w:rsid w:val="00D86216"/>
    <w:rsid w:val="00D92E01"/>
    <w:rsid w:val="00DB068B"/>
    <w:rsid w:val="00DB5A4A"/>
    <w:rsid w:val="00DC6338"/>
    <w:rsid w:val="00DD0A22"/>
    <w:rsid w:val="00DD18A4"/>
    <w:rsid w:val="00DD3AD5"/>
    <w:rsid w:val="00DD593B"/>
    <w:rsid w:val="00DD6F7B"/>
    <w:rsid w:val="00DF3A00"/>
    <w:rsid w:val="00DF7A37"/>
    <w:rsid w:val="00E00BA9"/>
    <w:rsid w:val="00E054B4"/>
    <w:rsid w:val="00E16C64"/>
    <w:rsid w:val="00E25119"/>
    <w:rsid w:val="00E31C91"/>
    <w:rsid w:val="00E31DA4"/>
    <w:rsid w:val="00E402B5"/>
    <w:rsid w:val="00E51883"/>
    <w:rsid w:val="00E67A8D"/>
    <w:rsid w:val="00E85CA1"/>
    <w:rsid w:val="00E90ABE"/>
    <w:rsid w:val="00E95C27"/>
    <w:rsid w:val="00EA3E4E"/>
    <w:rsid w:val="00ED10BB"/>
    <w:rsid w:val="00EE2E87"/>
    <w:rsid w:val="00EE55B7"/>
    <w:rsid w:val="00EF07E7"/>
    <w:rsid w:val="00F02585"/>
    <w:rsid w:val="00F03917"/>
    <w:rsid w:val="00F059EE"/>
    <w:rsid w:val="00F13418"/>
    <w:rsid w:val="00F208CA"/>
    <w:rsid w:val="00F264E5"/>
    <w:rsid w:val="00F339C2"/>
    <w:rsid w:val="00F41828"/>
    <w:rsid w:val="00F43092"/>
    <w:rsid w:val="00F57A19"/>
    <w:rsid w:val="00F6509D"/>
    <w:rsid w:val="00F7163A"/>
    <w:rsid w:val="00F766E8"/>
    <w:rsid w:val="00F83F26"/>
    <w:rsid w:val="00F84E81"/>
    <w:rsid w:val="00F86C9D"/>
    <w:rsid w:val="00FA5735"/>
    <w:rsid w:val="00FB237B"/>
    <w:rsid w:val="00FB276E"/>
    <w:rsid w:val="00FC68B5"/>
    <w:rsid w:val="00FD188A"/>
    <w:rsid w:val="00FE22E9"/>
    <w:rsid w:val="00FE3777"/>
    <w:rsid w:val="00FF1869"/>
    <w:rsid w:val="248F463D"/>
    <w:rsid w:val="4C094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2"/>
    <w:unhideWhenUsed/>
    <w:qFormat/>
    <w:uiPriority w:val="99"/>
    <w:rPr>
      <w:rFonts w:asciiTheme="minorHAnsi" w:hAnsiTheme="minorHAnsi" w:eastAsiaTheme="minorEastAsia" w:cstheme="minorBidi"/>
      <w:b/>
      <w:bCs/>
      <w:szCs w:val="22"/>
    </w:rPr>
  </w:style>
  <w:style w:type="paragraph" w:styleId="3">
    <w:name w:val="annotation text"/>
    <w:basedOn w:val="1"/>
    <w:link w:val="27"/>
    <w:uiPriority w:val="0"/>
    <w:pPr>
      <w:jc w:val="left"/>
    </w:pPr>
    <w:rPr>
      <w:rFonts w:ascii="Times New Roman" w:hAnsi="Times New Roman" w:eastAsia="宋体" w:cs="Times New Roman"/>
      <w:szCs w:val="24"/>
    </w:rPr>
  </w:style>
  <w:style w:type="paragraph" w:styleId="4">
    <w:name w:val="Body Text Indent"/>
    <w:basedOn w:val="1"/>
    <w:link w:val="21"/>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4"/>
    <w:uiPriority w:val="0"/>
    <w:rPr>
      <w:rFonts w:ascii="宋体" w:hAnsi="Courier New" w:eastAsia="宋体" w:cs="Times New Roman"/>
      <w:szCs w:val="21"/>
    </w:rPr>
  </w:style>
  <w:style w:type="paragraph" w:styleId="6">
    <w:name w:val="Body Text Indent 2"/>
    <w:basedOn w:val="1"/>
    <w:link w:val="25"/>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22"/>
    <w:semiHidden/>
    <w:qFormat/>
    <w:uiPriority w:val="0"/>
    <w:rPr>
      <w:rFonts w:ascii="Times New Roman" w:hAnsi="Times New Roman" w:eastAsia="宋体" w:cs="Times New Roman"/>
      <w:sz w:val="18"/>
      <w:szCs w:val="18"/>
    </w:rPr>
  </w:style>
  <w:style w:type="paragraph" w:styleId="8">
    <w:name w:val="footer"/>
    <w:basedOn w:val="1"/>
    <w:link w:val="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19"/>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0">
    <w:name w:val="Body Text Indent 3"/>
    <w:basedOn w:val="1"/>
    <w:link w:val="26"/>
    <w:qFormat/>
    <w:uiPriority w:val="0"/>
    <w:pPr>
      <w:spacing w:after="120"/>
      <w:ind w:left="420" w:leftChars="200"/>
    </w:pPr>
    <w:rPr>
      <w:rFonts w:ascii="Times New Roman" w:hAnsi="Times New Roman" w:eastAsia="宋体" w:cs="Times New Roman"/>
      <w:sz w:val="16"/>
      <w:szCs w:val="16"/>
    </w:rPr>
  </w:style>
  <w:style w:type="paragraph" w:styleId="11">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qFormat/>
    <w:uiPriority w:val="0"/>
    <w:rPr>
      <w:b/>
      <w:bCs/>
    </w:rPr>
  </w:style>
  <w:style w:type="character" w:styleId="14">
    <w:name w:val="page number"/>
    <w:basedOn w:val="12"/>
    <w:qFormat/>
    <w:uiPriority w:val="0"/>
  </w:style>
  <w:style w:type="character" w:styleId="15">
    <w:name w:val="annotation reference"/>
    <w:basedOn w:val="12"/>
    <w:qFormat/>
    <w:uiPriority w:val="0"/>
    <w:rPr>
      <w:sz w:val="21"/>
      <w:szCs w:val="21"/>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脚 Char"/>
    <w:basedOn w:val="12"/>
    <w:link w:val="8"/>
    <w:uiPriority w:val="0"/>
    <w:rPr>
      <w:rFonts w:ascii="Times New Roman" w:hAnsi="Times New Roman" w:eastAsia="宋体" w:cs="Times New Roman"/>
      <w:sz w:val="18"/>
      <w:szCs w:val="18"/>
    </w:rPr>
  </w:style>
  <w:style w:type="character" w:customStyle="1" w:styleId="19">
    <w:name w:val="页眉 Char"/>
    <w:basedOn w:val="12"/>
    <w:link w:val="9"/>
    <w:qFormat/>
    <w:uiPriority w:val="99"/>
    <w:rPr>
      <w:rFonts w:cs="Times New Roman" w:asciiTheme="majorEastAsia" w:hAnsiTheme="majorEastAsia" w:eastAsiaTheme="majorEastAsia"/>
      <w:b/>
      <w:szCs w:val="21"/>
    </w:rPr>
  </w:style>
  <w:style w:type="paragraph" w:customStyle="1" w:styleId="20">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1">
    <w:name w:val="正文文本缩进 Char"/>
    <w:basedOn w:val="12"/>
    <w:link w:val="4"/>
    <w:qFormat/>
    <w:uiPriority w:val="0"/>
    <w:rPr>
      <w:rFonts w:ascii="Times New Roman" w:hAnsi="Times New Roman" w:eastAsia="宋体" w:cs="Times New Roman"/>
      <w:kern w:val="0"/>
      <w:sz w:val="24"/>
      <w:szCs w:val="20"/>
    </w:rPr>
  </w:style>
  <w:style w:type="character" w:customStyle="1" w:styleId="22">
    <w:name w:val="批注框文本 Char"/>
    <w:basedOn w:val="12"/>
    <w:link w:val="7"/>
    <w:semiHidden/>
    <w:uiPriority w:val="0"/>
    <w:rPr>
      <w:rFonts w:ascii="Times New Roman" w:hAnsi="Times New Roman" w:eastAsia="宋体" w:cs="Times New Roman"/>
      <w:sz w:val="18"/>
      <w:szCs w:val="18"/>
    </w:rPr>
  </w:style>
  <w:style w:type="paragraph" w:customStyle="1" w:styleId="23">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4">
    <w:name w:val="纯文本 Char"/>
    <w:basedOn w:val="12"/>
    <w:link w:val="5"/>
    <w:uiPriority w:val="0"/>
    <w:rPr>
      <w:rFonts w:ascii="宋体" w:hAnsi="Courier New" w:eastAsia="宋体" w:cs="Times New Roman"/>
      <w:szCs w:val="21"/>
    </w:rPr>
  </w:style>
  <w:style w:type="character" w:customStyle="1" w:styleId="25">
    <w:name w:val="正文文本缩进 2 Char"/>
    <w:basedOn w:val="12"/>
    <w:link w:val="6"/>
    <w:qFormat/>
    <w:uiPriority w:val="0"/>
    <w:rPr>
      <w:rFonts w:ascii="Times New Roman" w:hAnsi="Times New Roman" w:eastAsia="宋体" w:cs="Times New Roman"/>
      <w:szCs w:val="24"/>
    </w:rPr>
  </w:style>
  <w:style w:type="character" w:customStyle="1" w:styleId="26">
    <w:name w:val="正文文本缩进 3 Char"/>
    <w:basedOn w:val="12"/>
    <w:link w:val="10"/>
    <w:qFormat/>
    <w:uiPriority w:val="0"/>
    <w:rPr>
      <w:rFonts w:ascii="Times New Roman" w:hAnsi="Times New Roman" w:eastAsia="宋体" w:cs="Times New Roman"/>
      <w:sz w:val="16"/>
      <w:szCs w:val="16"/>
    </w:rPr>
  </w:style>
  <w:style w:type="character" w:customStyle="1" w:styleId="27">
    <w:name w:val="批注文字 Char"/>
    <w:basedOn w:val="12"/>
    <w:link w:val="3"/>
    <w:qFormat/>
    <w:uiPriority w:val="0"/>
    <w:rPr>
      <w:rFonts w:ascii="Times New Roman" w:hAnsi="Times New Roman" w:eastAsia="宋体" w:cs="Times New Roman"/>
      <w:szCs w:val="24"/>
    </w:rPr>
  </w:style>
  <w:style w:type="paragraph" w:customStyle="1" w:styleId="28">
    <w:name w:val="表格"/>
    <w:basedOn w:val="1"/>
    <w:link w:val="29"/>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29">
    <w:name w:val="表格 Char"/>
    <w:link w:val="28"/>
    <w:qFormat/>
    <w:uiPriority w:val="0"/>
    <w:rPr>
      <w:rFonts w:ascii="仿宋_GB2312" w:hAnsi="Times New Roman" w:eastAsia="宋体" w:cs="Times New Roman"/>
      <w:color w:val="000000"/>
      <w:kern w:val="0"/>
      <w:szCs w:val="24"/>
    </w:rPr>
  </w:style>
  <w:style w:type="paragraph" w:customStyle="1" w:styleId="30">
    <w:name w:val="List Paragraph"/>
    <w:basedOn w:val="1"/>
    <w:qFormat/>
    <w:uiPriority w:val="34"/>
    <w:pPr>
      <w:ind w:firstLine="420" w:firstLineChars="200"/>
    </w:pPr>
    <w:rPr>
      <w:rFonts w:ascii="Times New Roman" w:hAnsi="Times New Roman" w:eastAsia="宋体" w:cs="Times New Roman"/>
      <w:szCs w:val="24"/>
    </w:rPr>
  </w:style>
  <w:style w:type="paragraph" w:customStyle="1" w:styleId="31">
    <w:name w:val="p0"/>
    <w:basedOn w:val="1"/>
    <w:uiPriority w:val="0"/>
    <w:pPr>
      <w:widowControl/>
    </w:pPr>
    <w:rPr>
      <w:rFonts w:ascii="Times New Roman" w:hAnsi="Times New Roman" w:eastAsia="宋体" w:cs="Times New Roman"/>
      <w:kern w:val="0"/>
      <w:szCs w:val="21"/>
    </w:rPr>
  </w:style>
  <w:style w:type="character" w:customStyle="1" w:styleId="32">
    <w:name w:val="批注主题 Char"/>
    <w:basedOn w:val="27"/>
    <w:link w:val="2"/>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A0F81-8346-45F8-BFEC-441A31011D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3375</Words>
  <Characters>19241</Characters>
  <Lines>160</Lines>
  <Paragraphs>45</Paragraphs>
  <ScaleCrop>false</ScaleCrop>
  <LinksUpToDate>false</LinksUpToDate>
  <CharactersWithSpaces>22571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2019-05-27T05:52:00Z</dcterms:created>
  <dc:creator>sunjp</dc:creator>
  <cp:lastModifiedBy>常孟园</cp:lastModifiedBy>
  <dcterms:modified xsi:type="dcterms:W3CDTF">2019-05-28T07:08:37Z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