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电视机产品质量监督抽查实施规范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018</w:t>
      </w:r>
      <w:r>
        <w:rPr>
          <w:rFonts w:ascii="黑体" w:hAnsi="黑体" w:eastAsia="黑体"/>
          <w:sz w:val="28"/>
        </w:rPr>
        <w:t>-201</w:t>
      </w:r>
      <w:r>
        <w:rPr>
          <w:rFonts w:hint="eastAsia" w:ascii="黑体" w:hAnsi="黑体" w:eastAsia="黑体"/>
          <w:sz w:val="28"/>
        </w:rPr>
        <w:t>9</w:t>
      </w: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本规范适用于深圳市生产及流通领域电视机产品质量监督抽查。监督抽查产品范围适用于：</w:t>
      </w:r>
      <w:r>
        <w:rPr>
          <w:rFonts w:hint="eastAsia" w:ascii="仿宋_GB2312" w:hAnsi="宋体" w:eastAsia="仿宋_GB2312"/>
          <w:sz w:val="28"/>
          <w:szCs w:val="28"/>
        </w:rPr>
        <w:t>各类液晶电视机，或具有电视机功能的各类显示设备，作为电视产品流通的显示设备。</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7"/>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sz w:val="24"/>
                <w:szCs w:val="21"/>
              </w:rPr>
            </w:pPr>
            <w:r>
              <w:rPr>
                <w:rFonts w:hint="eastAsia" w:ascii="仿宋_GB2312" w:hAnsi="宋体" w:eastAsia="仿宋_GB2312" w:cs="Times New Roman"/>
                <w:sz w:val="24"/>
                <w:szCs w:val="21"/>
              </w:rPr>
              <w:t>电视机</w:t>
            </w:r>
          </w:p>
        </w:tc>
        <w:tc>
          <w:tcPr>
            <w:tcW w:w="6305" w:type="dxa"/>
            <w:vAlign w:val="center"/>
          </w:tcPr>
          <w:p>
            <w:pPr>
              <w:autoSpaceDE w:val="0"/>
              <w:autoSpaceDN w:val="0"/>
              <w:adjustRightInd w:val="0"/>
              <w:spacing w:line="300" w:lineRule="exact"/>
              <w:rPr>
                <w:rFonts w:ascii="宋体" w:hAnsi="宋体" w:cs="宋体"/>
                <w:kern w:val="0"/>
                <w:sz w:val="24"/>
              </w:rPr>
            </w:pPr>
            <w:r>
              <w:rPr>
                <w:rFonts w:hint="eastAsia" w:ascii="仿宋_GB2312" w:eastAsia="仿宋_GB2312" w:cs="宋体"/>
                <w:kern w:val="0"/>
                <w:sz w:val="24"/>
                <w:szCs w:val="21"/>
              </w:rPr>
              <w:t>液晶电视机、投影电视机、等离子电视机、LED背光电视机、OLED电视机等</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7"/>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液晶电视机</w:t>
            </w:r>
          </w:p>
        </w:tc>
        <w:tc>
          <w:tcPr>
            <w:tcW w:w="6447" w:type="dxa"/>
            <w:vAlign w:val="center"/>
          </w:tcPr>
          <w:p>
            <w:pPr>
              <w:autoSpaceDE w:val="0"/>
              <w:autoSpaceDN w:val="0"/>
              <w:adjustRightInd w:val="0"/>
              <w:jc w:val="left"/>
              <w:rPr>
                <w:rFonts w:ascii="仿宋_GB2312" w:hAnsi="宋体" w:eastAsia="仿宋_GB2312" w:cs="Times New Roman"/>
                <w:sz w:val="24"/>
                <w:szCs w:val="24"/>
              </w:rPr>
            </w:pPr>
            <w:r>
              <w:rPr>
                <w:rFonts w:hint="eastAsia" w:ascii="仿宋_GB2312" w:eastAsia="仿宋_GB2312" w:cs="宋体"/>
                <w:kern w:val="0"/>
                <w:sz w:val="24"/>
                <w:szCs w:val="21"/>
              </w:rPr>
              <w:t>包含LED背光液晶电视机，以液晶显示面板为显示单元的电视机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等离子电视机</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以等离子显示面板为显示单元的电视机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投影电视机</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以投影方式将显示内容投影至幕布的电视机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OLED电视机</w:t>
            </w:r>
          </w:p>
        </w:tc>
        <w:tc>
          <w:tcPr>
            <w:tcW w:w="6447" w:type="dxa"/>
            <w:vAlign w:val="center"/>
          </w:tcPr>
          <w:p>
            <w:pPr>
              <w:autoSpaceDE w:val="0"/>
              <w:autoSpaceDN w:val="0"/>
              <w:adjustRightInd w:val="0"/>
              <w:jc w:val="left"/>
              <w:rPr>
                <w:rFonts w:ascii="仿宋_GB2312" w:eastAsia="仿宋_GB2312" w:cs="宋体"/>
                <w:kern w:val="0"/>
                <w:sz w:val="24"/>
                <w:szCs w:val="24"/>
              </w:rPr>
            </w:pPr>
            <w:r>
              <w:rPr>
                <w:rFonts w:hint="eastAsia" w:ascii="仿宋_GB2312" w:eastAsia="仿宋_GB2312" w:cs="宋体"/>
                <w:kern w:val="0"/>
                <w:sz w:val="24"/>
                <w:szCs w:val="24"/>
              </w:rPr>
              <w:t>以“有机发光二极管”即OLED显示面板为显示单元的电视机</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7"/>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407"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78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ascii="仿宋_GB2312" w:hAnsi="宋体" w:eastAsia="仿宋_GB2312" w:cs="Times New Roman"/>
                <w:sz w:val="24"/>
                <w:szCs w:val="21"/>
              </w:rPr>
              <w:t>GB 8898</w:t>
            </w:r>
            <w:r>
              <w:rPr>
                <w:rFonts w:hint="eastAsia" w:ascii="仿宋_GB2312" w:hAnsi="宋体" w:eastAsia="仿宋_GB2312" w:cs="Times New Roman"/>
                <w:sz w:val="24"/>
                <w:szCs w:val="21"/>
              </w:rPr>
              <w:t>-2011</w:t>
            </w:r>
          </w:p>
        </w:tc>
        <w:tc>
          <w:tcPr>
            <w:tcW w:w="4407" w:type="dxa"/>
            <w:shd w:val="clear" w:color="auto" w:fill="auto"/>
            <w:vAlign w:val="center"/>
          </w:tcPr>
          <w:p>
            <w:pPr>
              <w:autoSpaceDE w:val="0"/>
              <w:autoSpaceDN w:val="0"/>
              <w:adjustRightInd w:val="0"/>
              <w:jc w:val="center"/>
              <w:rPr>
                <w:rFonts w:ascii="仿宋_GB2312" w:hAnsi="宋体" w:eastAsia="仿宋_GB2312" w:cs="Times New Roman"/>
                <w:sz w:val="24"/>
                <w:szCs w:val="21"/>
              </w:rPr>
            </w:pPr>
            <w:r>
              <w:rPr>
                <w:rFonts w:hint="eastAsia" w:ascii="仿宋_GB2312" w:hAnsi="宋体" w:eastAsia="仿宋_GB2312" w:cs="Times New Roman"/>
                <w:sz w:val="24"/>
                <w:szCs w:val="21"/>
              </w:rPr>
              <w:t>《音频、视频及类似电子设备安全要求》</w:t>
            </w:r>
          </w:p>
        </w:tc>
        <w:tc>
          <w:tcPr>
            <w:tcW w:w="2786"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w:t>
      </w:r>
      <w:bookmarkStart w:id="0" w:name="OLE_LINK51"/>
      <w:r>
        <w:rPr>
          <w:rFonts w:hint="eastAsia" w:ascii="仿宋_GB2312" w:hAnsi="宋体" w:eastAsia="仿宋_GB2312" w:cs="Times New Roman"/>
          <w:sz w:val="28"/>
          <w:szCs w:val="28"/>
        </w:rPr>
        <w:t>2台样品，1台作为检验样品带回承检机构，</w:t>
      </w:r>
      <w:bookmarkEnd w:id="0"/>
      <w:r>
        <w:rPr>
          <w:rFonts w:hint="eastAsia" w:ascii="仿宋_GB2312" w:hAnsi="宋体" w:eastAsia="仿宋_GB2312" w:cs="Times New Roman"/>
          <w:sz w:val="28"/>
          <w:szCs w:val="28"/>
        </w:rPr>
        <w:t>1台作为备用样品封存于承检机构；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抽取电视机产品时，需要抽取附件的产品附件包括说明书、保修卡等。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2721"/>
        <w:gridCol w:w="2127"/>
        <w:gridCol w:w="1276"/>
        <w:gridCol w:w="192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9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序号</w:t>
            </w:r>
          </w:p>
        </w:tc>
        <w:tc>
          <w:tcPr>
            <w:tcW w:w="2721"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检验项目</w:t>
            </w:r>
          </w:p>
        </w:tc>
        <w:tc>
          <w:tcPr>
            <w:tcW w:w="2127"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检测依据</w:t>
            </w:r>
          </w:p>
        </w:tc>
        <w:tc>
          <w:tcPr>
            <w:tcW w:w="1276"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项目性质</w:t>
            </w:r>
          </w:p>
        </w:tc>
        <w:tc>
          <w:tcPr>
            <w:tcW w:w="1923" w:type="dxa"/>
            <w:vAlign w:val="center"/>
          </w:tcPr>
          <w:p>
            <w:pPr>
              <w:widowControl/>
              <w:snapToGrid w:val="0"/>
              <w:jc w:val="center"/>
              <w:rPr>
                <w:rFonts w:ascii="黑体" w:hAnsi="黑体" w:eastAsia="黑体" w:cs="Times New Roman"/>
                <w:bCs/>
                <w:color w:val="000000" w:themeColor="text1"/>
                <w:sz w:val="24"/>
                <w:szCs w:val="24"/>
              </w:rPr>
            </w:pPr>
            <w:r>
              <w:rPr>
                <w:rFonts w:hint="eastAsia" w:ascii="黑体" w:hAnsi="黑体" w:eastAsia="黑体" w:cs="Times New Roman"/>
                <w:bCs/>
                <w:color w:val="000000" w:themeColor="text1"/>
                <w:sz w:val="24"/>
                <w:szCs w:val="24"/>
              </w:rPr>
              <w:t>检测方法</w:t>
            </w:r>
          </w:p>
        </w:tc>
        <w:tc>
          <w:tcPr>
            <w:tcW w:w="913" w:type="dxa"/>
            <w:vAlign w:val="center"/>
          </w:tcPr>
          <w:p>
            <w:pPr>
              <w:snapToGrid w:val="0"/>
              <w:jc w:val="center"/>
              <w:rPr>
                <w:rFonts w:ascii="黑体" w:hAnsi="黑体" w:eastAsia="黑体" w:cs="Times New Roman"/>
                <w:color w:val="000000" w:themeColor="text1"/>
                <w:sz w:val="24"/>
                <w:szCs w:val="24"/>
              </w:rPr>
            </w:pPr>
            <w:r>
              <w:rPr>
                <w:rFonts w:hint="eastAsia" w:ascii="黑体" w:hAnsi="黑体" w:eastAsia="黑体" w:cs="Times New Roman"/>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w:t>
            </w:r>
          </w:p>
        </w:tc>
        <w:tc>
          <w:tcPr>
            <w:tcW w:w="2721" w:type="dxa"/>
            <w:vAlign w:val="center"/>
          </w:tcPr>
          <w:p>
            <w:pPr>
              <w:spacing w:line="24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标志和说明书</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5</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5</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2</w:t>
            </w:r>
          </w:p>
        </w:tc>
        <w:tc>
          <w:tcPr>
            <w:tcW w:w="2721" w:type="dxa"/>
            <w:vAlign w:val="center"/>
          </w:tcPr>
          <w:p>
            <w:pPr>
              <w:spacing w:line="24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辐射危险</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6</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6</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3</w:t>
            </w:r>
          </w:p>
        </w:tc>
        <w:tc>
          <w:tcPr>
            <w:tcW w:w="2721" w:type="dxa"/>
            <w:vAlign w:val="center"/>
          </w:tcPr>
          <w:p>
            <w:pPr>
              <w:spacing w:line="24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正常工作条件下的发热</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7</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7</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4</w:t>
            </w:r>
          </w:p>
        </w:tc>
        <w:tc>
          <w:tcPr>
            <w:tcW w:w="2721" w:type="dxa"/>
            <w:vAlign w:val="center"/>
          </w:tcPr>
          <w:p>
            <w:pPr>
              <w:spacing w:line="400" w:lineRule="exact"/>
              <w:jc w:val="center"/>
              <w:rPr>
                <w:rStyle w:val="15"/>
                <w:rFonts w:ascii="仿宋_GB2312" w:hAnsi="宋体" w:eastAsia="仿宋_GB2312"/>
                <w:color w:val="000000" w:themeColor="text1"/>
                <w:sz w:val="24"/>
                <w:szCs w:val="24"/>
              </w:rPr>
            </w:pPr>
            <w:r>
              <w:rPr>
                <w:rStyle w:val="15"/>
                <w:rFonts w:hint="eastAsia" w:ascii="仿宋_GB2312" w:eastAsia="仿宋_GB2312"/>
                <w:color w:val="000000" w:themeColor="text1"/>
                <w:sz w:val="24"/>
                <w:szCs w:val="24"/>
              </w:rPr>
              <w:t>防电击保护的结构要求</w:t>
            </w:r>
          </w:p>
        </w:tc>
        <w:tc>
          <w:tcPr>
            <w:tcW w:w="2127" w:type="dxa"/>
            <w:vAlign w:val="center"/>
          </w:tcPr>
          <w:p>
            <w:pPr>
              <w:jc w:val="center"/>
              <w:rPr>
                <w:rFonts w:ascii="仿宋_GB2312" w:hAnsi="仿宋" w:eastAsia="仿宋_GB2312" w:cs="宋体"/>
                <w:color w:val="000000" w:themeColor="text1"/>
                <w:sz w:val="24"/>
                <w:szCs w:val="24"/>
              </w:rPr>
            </w:pPr>
            <w:r>
              <w:rPr>
                <w:rFonts w:hint="eastAsia" w:ascii="仿宋_GB2312" w:hAnsi="仿宋" w:eastAsia="仿宋_GB2312" w:cs="Times New Roman"/>
                <w:color w:val="000000" w:themeColor="text1"/>
                <w:sz w:val="24"/>
                <w:szCs w:val="24"/>
              </w:rPr>
              <w:t>GB 8898-2011 8</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宋体"/>
                <w:color w:val="000000" w:themeColor="text1"/>
                <w:sz w:val="24"/>
                <w:szCs w:val="24"/>
              </w:rPr>
            </w:pPr>
            <w:r>
              <w:rPr>
                <w:rFonts w:hint="eastAsia" w:ascii="仿宋_GB2312" w:hAnsi="仿宋" w:eastAsia="仿宋_GB2312" w:cs="Times New Roman"/>
                <w:color w:val="000000" w:themeColor="text1"/>
                <w:sz w:val="24"/>
                <w:szCs w:val="24"/>
              </w:rPr>
              <w:t>GB 8898-2011 8</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5</w:t>
            </w:r>
          </w:p>
        </w:tc>
        <w:tc>
          <w:tcPr>
            <w:tcW w:w="2721" w:type="dxa"/>
            <w:vAlign w:val="center"/>
          </w:tcPr>
          <w:p>
            <w:pPr>
              <w:spacing w:line="400" w:lineRule="exact"/>
              <w:jc w:val="center"/>
              <w:rPr>
                <w:rStyle w:val="15"/>
                <w:rFonts w:ascii="仿宋_GB2312" w:hAnsi="宋体" w:eastAsia="仿宋_GB2312"/>
                <w:color w:val="000000" w:themeColor="text1"/>
                <w:sz w:val="24"/>
                <w:szCs w:val="24"/>
              </w:rPr>
            </w:pPr>
            <w:r>
              <w:rPr>
                <w:rStyle w:val="15"/>
                <w:rFonts w:hint="eastAsia" w:ascii="仿宋_GB2312" w:eastAsia="仿宋_GB2312"/>
                <w:color w:val="000000" w:themeColor="text1"/>
                <w:sz w:val="24"/>
                <w:szCs w:val="24"/>
              </w:rPr>
              <w:t>正常工作条件下的电击危险</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9</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9</w:t>
            </w:r>
          </w:p>
        </w:tc>
        <w:tc>
          <w:tcPr>
            <w:tcW w:w="91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原样/备样</w:t>
            </w:r>
            <w:r>
              <w:rPr>
                <w:rStyle w:val="15"/>
                <w:rFonts w:hint="eastAsia" w:ascii="仿宋_GB2312" w:eastAsia="仿宋_GB2312"/>
                <w:color w:val="000000" w:themeColor="text1"/>
                <w:sz w:val="24"/>
                <w:szCs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6</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绝缘要求</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10</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10</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7</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故障条件</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11</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11</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8</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机械强度</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12</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12</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9</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电气间隙和爬电距离</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13</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13</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10</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元器件</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14</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14</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11</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端子</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15</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15</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12</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外接软线</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16</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16</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13</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电气连接和机械固定</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17</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17</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14</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稳定性和机械危险</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19</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19</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宋体" w:eastAsia="仿宋_GB2312" w:cs="Times New Roman"/>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93" w:type="dxa"/>
            <w:vAlign w:val="center"/>
          </w:tcPr>
          <w:p>
            <w:pPr>
              <w:autoSpaceDE w:val="0"/>
              <w:autoSpaceDN w:val="0"/>
              <w:adjustRightIn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15</w:t>
            </w:r>
          </w:p>
        </w:tc>
        <w:tc>
          <w:tcPr>
            <w:tcW w:w="2721" w:type="dxa"/>
            <w:vAlign w:val="center"/>
          </w:tcPr>
          <w:p>
            <w:pPr>
              <w:spacing w:line="400" w:lineRule="exact"/>
              <w:jc w:val="center"/>
              <w:rPr>
                <w:rStyle w:val="15"/>
                <w:rFonts w:ascii="仿宋_GB2312" w:eastAsia="仿宋_GB2312"/>
                <w:color w:val="000000" w:themeColor="text1"/>
                <w:sz w:val="24"/>
                <w:szCs w:val="24"/>
              </w:rPr>
            </w:pPr>
            <w:r>
              <w:rPr>
                <w:rStyle w:val="15"/>
                <w:rFonts w:hint="eastAsia" w:ascii="仿宋_GB2312" w:eastAsia="仿宋_GB2312"/>
                <w:color w:val="000000" w:themeColor="text1"/>
                <w:sz w:val="24"/>
                <w:szCs w:val="24"/>
              </w:rPr>
              <w:t>防火</w:t>
            </w:r>
          </w:p>
        </w:tc>
        <w:tc>
          <w:tcPr>
            <w:tcW w:w="2127"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20</w:t>
            </w:r>
          </w:p>
        </w:tc>
        <w:tc>
          <w:tcPr>
            <w:tcW w:w="1276" w:type="dxa"/>
            <w:vAlign w:val="center"/>
          </w:tcPr>
          <w:p>
            <w:pPr>
              <w:snapToGrid w:val="0"/>
              <w:spacing w:beforeLines="25" w:afterLines="25"/>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强制性</w:t>
            </w:r>
          </w:p>
        </w:tc>
        <w:tc>
          <w:tcPr>
            <w:tcW w:w="1923" w:type="dxa"/>
            <w:vAlign w:val="center"/>
          </w:tcPr>
          <w:p>
            <w:pPr>
              <w:jc w:val="center"/>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GB 8898-2011 20</w:t>
            </w:r>
          </w:p>
        </w:tc>
        <w:tc>
          <w:tcPr>
            <w:tcW w:w="913" w:type="dxa"/>
            <w:vAlign w:val="center"/>
          </w:tcPr>
          <w:p>
            <w:pPr>
              <w:jc w:val="center"/>
              <w:rPr>
                <w:rFonts w:ascii="仿宋_GB2312" w:hAnsi="宋体" w:eastAsia="仿宋_GB2312" w:cs="Times New Roman"/>
                <w:color w:val="000000" w:themeColor="text1"/>
                <w:szCs w:val="21"/>
              </w:rPr>
            </w:pPr>
            <w:r>
              <w:rPr>
                <w:rFonts w:hint="eastAsia" w:ascii="仿宋_GB2312" w:hAnsi="仿宋" w:eastAsia="仿宋_GB2312" w:cs="Times New Roman"/>
                <w:bCs/>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53" w:type="dxa"/>
            <w:gridSpan w:val="6"/>
            <w:vAlign w:val="center"/>
          </w:tcPr>
          <w:p>
            <w:pPr>
              <w:jc w:val="left"/>
              <w:rPr>
                <w:rFonts w:ascii="仿宋_GB2312" w:hAnsi="仿宋" w:eastAsia="仿宋_GB2312" w:cs="Times New Roman"/>
                <w:bCs/>
                <w:color w:val="000000" w:themeColor="text1"/>
                <w:sz w:val="24"/>
                <w:szCs w:val="24"/>
              </w:rPr>
            </w:pPr>
            <w:r>
              <w:rPr>
                <w:rFonts w:hint="eastAsia" w:ascii="仿宋_GB2312" w:hAnsi="仿宋" w:eastAsia="仿宋_GB2312" w:cs="Times New Roman"/>
                <w:bCs/>
                <w:color w:val="000000" w:themeColor="text1"/>
                <w:sz w:val="24"/>
                <w:szCs w:val="24"/>
              </w:rPr>
              <w:t>注1：“正常工作条件下的电击危险”项目复检时，放电试验选择原样作为复检样品，其他试验选择备样作为复检样品。</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复检</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采用备样复检时，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、复检结果及企业提交的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pPr>
        <w:widowControl/>
        <w:jc w:val="left"/>
        <w:rPr>
          <w:rFonts w:ascii="黑体" w:hAnsi="宋体" w:eastAsia="黑体" w:cs="Times New Roman"/>
          <w:sz w:val="32"/>
          <w:szCs w:val="32"/>
        </w:rPr>
      </w:pPr>
    </w:p>
    <w:p>
      <w:pPr>
        <w:spacing w:line="360" w:lineRule="auto"/>
        <w:rPr>
          <w:rFonts w:ascii="仿宋_GB2312" w:hAnsi="宋体" w:eastAsia="仿宋_GB2312" w:cs="Times New Roman"/>
          <w:sz w:val="28"/>
          <w:szCs w:val="28"/>
        </w:rPr>
      </w:pPr>
      <w:bookmarkStart w:id="1" w:name="_GoBack"/>
      <w:bookmarkEnd w:id="1"/>
    </w:p>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0391"/>
    <w:rsid w:val="00045AEC"/>
    <w:rsid w:val="00081B9C"/>
    <w:rsid w:val="00091CF5"/>
    <w:rsid w:val="000C351E"/>
    <w:rsid w:val="000C5B04"/>
    <w:rsid w:val="000D224D"/>
    <w:rsid w:val="000E6A7F"/>
    <w:rsid w:val="000F06C1"/>
    <w:rsid w:val="001331CD"/>
    <w:rsid w:val="00143FF8"/>
    <w:rsid w:val="00145408"/>
    <w:rsid w:val="00156112"/>
    <w:rsid w:val="001A7241"/>
    <w:rsid w:val="001B1B68"/>
    <w:rsid w:val="00213223"/>
    <w:rsid w:val="002445BF"/>
    <w:rsid w:val="00245EBE"/>
    <w:rsid w:val="002659A7"/>
    <w:rsid w:val="00266F51"/>
    <w:rsid w:val="00267E0A"/>
    <w:rsid w:val="00273055"/>
    <w:rsid w:val="0028178E"/>
    <w:rsid w:val="002C25F1"/>
    <w:rsid w:val="002E3945"/>
    <w:rsid w:val="003110CC"/>
    <w:rsid w:val="00327A52"/>
    <w:rsid w:val="003575D8"/>
    <w:rsid w:val="003725E7"/>
    <w:rsid w:val="003816B4"/>
    <w:rsid w:val="00393289"/>
    <w:rsid w:val="003C1FF0"/>
    <w:rsid w:val="004144CB"/>
    <w:rsid w:val="00440B3B"/>
    <w:rsid w:val="00442803"/>
    <w:rsid w:val="00451A9C"/>
    <w:rsid w:val="00451F77"/>
    <w:rsid w:val="00454C56"/>
    <w:rsid w:val="00455F50"/>
    <w:rsid w:val="00457393"/>
    <w:rsid w:val="00475F54"/>
    <w:rsid w:val="004864E2"/>
    <w:rsid w:val="0049380F"/>
    <w:rsid w:val="004C1287"/>
    <w:rsid w:val="004C1334"/>
    <w:rsid w:val="004D0382"/>
    <w:rsid w:val="004E7D91"/>
    <w:rsid w:val="00520B39"/>
    <w:rsid w:val="00544B94"/>
    <w:rsid w:val="00545A12"/>
    <w:rsid w:val="00550CE0"/>
    <w:rsid w:val="00583E60"/>
    <w:rsid w:val="005B31B5"/>
    <w:rsid w:val="005C0023"/>
    <w:rsid w:val="005D4455"/>
    <w:rsid w:val="005D54BD"/>
    <w:rsid w:val="00635AEC"/>
    <w:rsid w:val="0064613E"/>
    <w:rsid w:val="0064797C"/>
    <w:rsid w:val="00651A53"/>
    <w:rsid w:val="006575FA"/>
    <w:rsid w:val="0066561D"/>
    <w:rsid w:val="00676815"/>
    <w:rsid w:val="00694207"/>
    <w:rsid w:val="006C3325"/>
    <w:rsid w:val="00711698"/>
    <w:rsid w:val="00715ECD"/>
    <w:rsid w:val="007332DC"/>
    <w:rsid w:val="00757BD9"/>
    <w:rsid w:val="0076203D"/>
    <w:rsid w:val="00776E2E"/>
    <w:rsid w:val="007C0F87"/>
    <w:rsid w:val="00812E24"/>
    <w:rsid w:val="00842D30"/>
    <w:rsid w:val="00843EBE"/>
    <w:rsid w:val="00845C8F"/>
    <w:rsid w:val="00864A08"/>
    <w:rsid w:val="00866E1E"/>
    <w:rsid w:val="0087352D"/>
    <w:rsid w:val="00886BC3"/>
    <w:rsid w:val="0089314F"/>
    <w:rsid w:val="0089623D"/>
    <w:rsid w:val="008A673C"/>
    <w:rsid w:val="008E360F"/>
    <w:rsid w:val="00904E14"/>
    <w:rsid w:val="00917DB8"/>
    <w:rsid w:val="00951930"/>
    <w:rsid w:val="00995CCA"/>
    <w:rsid w:val="009C09F5"/>
    <w:rsid w:val="00A04793"/>
    <w:rsid w:val="00A13092"/>
    <w:rsid w:val="00A17997"/>
    <w:rsid w:val="00A679C5"/>
    <w:rsid w:val="00A929D4"/>
    <w:rsid w:val="00A93AEE"/>
    <w:rsid w:val="00AA2557"/>
    <w:rsid w:val="00AB00BE"/>
    <w:rsid w:val="00AC2428"/>
    <w:rsid w:val="00AD41D2"/>
    <w:rsid w:val="00AE6A3C"/>
    <w:rsid w:val="00B20F7A"/>
    <w:rsid w:val="00B41227"/>
    <w:rsid w:val="00B47E10"/>
    <w:rsid w:val="00B50E38"/>
    <w:rsid w:val="00B82055"/>
    <w:rsid w:val="00B82839"/>
    <w:rsid w:val="00B96E12"/>
    <w:rsid w:val="00BA0657"/>
    <w:rsid w:val="00BA10EE"/>
    <w:rsid w:val="00BE5675"/>
    <w:rsid w:val="00C16673"/>
    <w:rsid w:val="00C5760C"/>
    <w:rsid w:val="00C91CE2"/>
    <w:rsid w:val="00CB4454"/>
    <w:rsid w:val="00CF46C3"/>
    <w:rsid w:val="00CF4D8B"/>
    <w:rsid w:val="00D0449B"/>
    <w:rsid w:val="00D32A3E"/>
    <w:rsid w:val="00D43CD3"/>
    <w:rsid w:val="00D5044A"/>
    <w:rsid w:val="00D54DD1"/>
    <w:rsid w:val="00D90D50"/>
    <w:rsid w:val="00D943E2"/>
    <w:rsid w:val="00DC1E0B"/>
    <w:rsid w:val="00DC4635"/>
    <w:rsid w:val="00DC714F"/>
    <w:rsid w:val="00DD1CDC"/>
    <w:rsid w:val="00DD2244"/>
    <w:rsid w:val="00DE6471"/>
    <w:rsid w:val="00E111A4"/>
    <w:rsid w:val="00E766E9"/>
    <w:rsid w:val="00E84505"/>
    <w:rsid w:val="00EB0A44"/>
    <w:rsid w:val="00EB22D7"/>
    <w:rsid w:val="00F03FA6"/>
    <w:rsid w:val="00F2627D"/>
    <w:rsid w:val="00F336D3"/>
    <w:rsid w:val="00F35B1E"/>
    <w:rsid w:val="00F4112B"/>
    <w:rsid w:val="00F42F98"/>
    <w:rsid w:val="00F4546E"/>
    <w:rsid w:val="00F56B0F"/>
    <w:rsid w:val="00F6086E"/>
    <w:rsid w:val="00F75C67"/>
    <w:rsid w:val="00FE73FE"/>
    <w:rsid w:val="58AE10F4"/>
    <w:rsid w:val="5943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uiPriority w:val="99"/>
    <w:rPr>
      <w:rFonts w:asciiTheme="minorHAnsi" w:hAnsiTheme="minorHAnsi" w:eastAsiaTheme="minorEastAsia" w:cstheme="minorBidi"/>
      <w:b/>
      <w:bCs/>
      <w:szCs w:val="22"/>
    </w:rPr>
  </w:style>
  <w:style w:type="paragraph" w:styleId="3">
    <w:name w:val="annotation text"/>
    <w:basedOn w:val="1"/>
    <w:link w:val="28"/>
    <w:uiPriority w:val="0"/>
    <w:pPr>
      <w:jc w:val="left"/>
    </w:pPr>
    <w:rPr>
      <w:rFonts w:ascii="Times New Roman" w:hAnsi="Times New Roman" w:eastAsia="宋体" w:cs="Times New Roman"/>
      <w:szCs w:val="24"/>
    </w:rPr>
  </w:style>
  <w:style w:type="paragraph" w:styleId="4">
    <w:name w:val="Body Text Indent"/>
    <w:basedOn w:val="1"/>
    <w:link w:val="22"/>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qFormat/>
    <w:uiPriority w:val="99"/>
    <w:pPr>
      <w:ind w:left="100" w:leftChars="2500"/>
    </w:pPr>
  </w:style>
  <w:style w:type="paragraph" w:styleId="7">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uiPriority w:val="0"/>
    <w:rPr>
      <w:rFonts w:ascii="Times New Roman" w:hAnsi="Times New Roman" w:eastAsia="宋体" w:cs="Times New Roman"/>
      <w:sz w:val="18"/>
      <w:szCs w:val="18"/>
    </w:rPr>
  </w:style>
  <w:style w:type="paragraph" w:styleId="9">
    <w:name w:val="footer"/>
    <w:basedOn w:val="1"/>
    <w:link w:val="1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qFormat/>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uiPriority w:val="0"/>
    <w:rPr>
      <w:rFonts w:ascii="Times New Roman" w:hAnsi="Times New Roman" w:eastAsia="宋体" w:cs="Times New Roman"/>
      <w:sz w:val="18"/>
      <w:szCs w:val="18"/>
    </w:rPr>
  </w:style>
  <w:style w:type="paragraph" w:customStyle="1" w:styleId="24">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87A6C-AB54-4FD8-B302-5F4283960ECF}">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16</Pages>
  <Words>1190</Words>
  <Characters>6784</Characters>
  <Lines>56</Lines>
  <Paragraphs>15</Paragraphs>
  <TotalTime>0</TotalTime>
  <ScaleCrop>false</ScaleCrop>
  <LinksUpToDate>false</LinksUpToDate>
  <CharactersWithSpaces>7959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2019-03-14T05:49:00Z</dcterms:created>
  <dc:creator>张嘉欢</dc:creator>
  <cp:lastModifiedBy>常孟园</cp:lastModifiedBy>
  <dcterms:modified xsi:type="dcterms:W3CDTF">2019-05-23T02:14:57Z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