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50" w:line="360" w:lineRule="auto"/>
        <w:jc w:val="center"/>
        <w:rPr>
          <w:rFonts w:ascii="黑体" w:hAnsi="宋体" w:eastAsia="黑体"/>
          <w:color w:val="000000" w:themeColor="text1"/>
          <w:sz w:val="36"/>
        </w:rPr>
      </w:pPr>
      <w:r>
        <w:rPr>
          <w:rFonts w:hint="eastAsia" w:ascii="黑体" w:hAnsi="宋体" w:eastAsia="黑体"/>
          <w:color w:val="000000" w:themeColor="text1"/>
          <w:sz w:val="36"/>
        </w:rPr>
        <w:t>深圳市市场监督管理局</w:t>
      </w:r>
    </w:p>
    <w:p>
      <w:pPr>
        <w:spacing w:beforeLines="50" w:line="360" w:lineRule="auto"/>
        <w:jc w:val="center"/>
        <w:rPr>
          <w:rFonts w:ascii="黑体" w:hAnsi="宋体" w:eastAsia="黑体"/>
          <w:color w:val="000000" w:themeColor="text1"/>
          <w:sz w:val="36"/>
        </w:rPr>
      </w:pPr>
      <w:r>
        <w:rPr>
          <w:rFonts w:hint="eastAsia" w:ascii="黑体" w:hAnsi="宋体" w:eastAsia="黑体"/>
          <w:color w:val="000000" w:themeColor="text1"/>
          <w:sz w:val="36"/>
        </w:rPr>
        <w:t>服装产品质量监督抽查实施规范</w:t>
      </w:r>
    </w:p>
    <w:p>
      <w:pPr>
        <w:spacing w:beforeLines="75" w:line="300" w:lineRule="exact"/>
        <w:jc w:val="center"/>
        <w:rPr>
          <w:rFonts w:ascii="黑体" w:hAnsi="宋体" w:eastAsia="黑体"/>
          <w:sz w:val="28"/>
          <w:szCs w:val="28"/>
        </w:rPr>
      </w:pPr>
      <w:r>
        <w:rPr>
          <w:rFonts w:hint="eastAsia" w:ascii="黑体" w:hAnsi="宋体" w:eastAsia="黑体"/>
          <w:color w:val="000000" w:themeColor="text1"/>
          <w:sz w:val="28"/>
          <w:szCs w:val="28"/>
        </w:rPr>
        <w:t>编号：</w:t>
      </w:r>
      <w:r>
        <w:rPr>
          <w:rFonts w:hint="eastAsia" w:ascii="黑体" w:hAnsi="宋体" w:eastAsia="黑体"/>
          <w:sz w:val="28"/>
          <w:szCs w:val="28"/>
        </w:rPr>
        <w:t>CCGF-SZ-043-2019</w:t>
      </w:r>
    </w:p>
    <w:p>
      <w:pPr>
        <w:snapToGrid w:val="0"/>
        <w:spacing w:line="360" w:lineRule="auto"/>
        <w:rPr>
          <w:rFonts w:ascii="仿宋_GB2312" w:hAnsi="宋体" w:eastAsia="仿宋_GB2312"/>
          <w:b/>
          <w:sz w:val="28"/>
          <w:szCs w:val="28"/>
        </w:rPr>
      </w:pPr>
    </w:p>
    <w:p>
      <w:pPr>
        <w:snapToGrid w:val="0"/>
        <w:spacing w:line="360" w:lineRule="auto"/>
        <w:rPr>
          <w:rFonts w:ascii="仿宋_GB2312" w:hAnsi="宋体" w:eastAsia="仿宋_GB2312"/>
          <w:b/>
          <w:color w:val="000000" w:themeColor="text1"/>
          <w:sz w:val="28"/>
          <w:szCs w:val="28"/>
        </w:rPr>
      </w:pPr>
      <w:r>
        <w:rPr>
          <w:rFonts w:hint="eastAsia" w:ascii="仿宋_GB2312" w:hAnsi="宋体" w:eastAsia="仿宋_GB2312"/>
          <w:b/>
          <w:color w:val="000000" w:themeColor="text1"/>
          <w:sz w:val="28"/>
          <w:szCs w:val="28"/>
        </w:rPr>
        <w:t>1 适用范围</w:t>
      </w:r>
    </w:p>
    <w:p>
      <w:pPr>
        <w:snapToGrid w:val="0"/>
        <w:spacing w:line="360" w:lineRule="auto"/>
        <w:ind w:firstLine="560" w:firstLineChars="200"/>
        <w:rPr>
          <w:rFonts w:ascii="仿宋_GB2312" w:hAnsi="宋体" w:eastAsia="仿宋_GB2312"/>
          <w:color w:val="000000" w:themeColor="text1"/>
          <w:sz w:val="28"/>
          <w:szCs w:val="28"/>
        </w:rPr>
      </w:pPr>
      <w:r>
        <w:rPr>
          <w:rFonts w:hint="eastAsia" w:ascii="仿宋_GB2312" w:hAnsi="宋体" w:eastAsia="仿宋_GB2312"/>
          <w:color w:val="000000" w:themeColor="text1"/>
          <w:sz w:val="28"/>
          <w:szCs w:val="28"/>
        </w:rPr>
        <w:t>本规范适用于深圳市生产及流通领域服装产品质量监督抽查。</w:t>
      </w:r>
    </w:p>
    <w:p>
      <w:pPr>
        <w:snapToGrid w:val="0"/>
        <w:spacing w:line="360" w:lineRule="auto"/>
        <w:ind w:firstLine="560" w:firstLineChars="200"/>
        <w:rPr>
          <w:rFonts w:ascii="仿宋_GB2312" w:hAnsi="宋体" w:eastAsia="仿宋_GB2312"/>
          <w:color w:val="000000" w:themeColor="text1"/>
          <w:sz w:val="28"/>
          <w:szCs w:val="28"/>
        </w:rPr>
      </w:pPr>
      <w:r>
        <w:rPr>
          <w:rFonts w:hint="eastAsia" w:ascii="仿宋_GB2312" w:hAnsi="宋体" w:eastAsia="仿宋_GB2312"/>
          <w:color w:val="000000" w:themeColor="text1"/>
          <w:sz w:val="28"/>
          <w:szCs w:val="28"/>
        </w:rPr>
        <w:t>本规范内容包括适用范围、产品种类、术语和定义、检验依据、抽样、检验要求，判定原则及异议处理复检。</w:t>
      </w:r>
    </w:p>
    <w:p>
      <w:pPr>
        <w:snapToGrid w:val="0"/>
        <w:spacing w:line="360" w:lineRule="auto"/>
        <w:outlineLvl w:val="0"/>
        <w:rPr>
          <w:rFonts w:ascii="仿宋_GB2312" w:hAnsi="宋体" w:eastAsia="仿宋_GB2312"/>
          <w:b/>
          <w:color w:val="000000" w:themeColor="text1"/>
          <w:sz w:val="28"/>
          <w:szCs w:val="28"/>
        </w:rPr>
      </w:pPr>
      <w:r>
        <w:rPr>
          <w:rFonts w:hint="eastAsia" w:ascii="仿宋_GB2312" w:hAnsi="宋体" w:eastAsia="仿宋_GB2312"/>
          <w:b/>
          <w:color w:val="000000" w:themeColor="text1"/>
          <w:sz w:val="28"/>
          <w:szCs w:val="28"/>
        </w:rPr>
        <w:t>2 产品种类</w:t>
      </w:r>
    </w:p>
    <w:p>
      <w:pPr>
        <w:snapToGrid w:val="0"/>
        <w:spacing w:line="360" w:lineRule="auto"/>
        <w:ind w:firstLine="570"/>
        <w:outlineLvl w:val="0"/>
        <w:rPr>
          <w:rFonts w:ascii="仿宋_GB2312" w:hAnsi="宋体" w:eastAsia="仿宋_GB2312"/>
          <w:color w:val="000000" w:themeColor="text1"/>
          <w:sz w:val="28"/>
          <w:szCs w:val="28"/>
        </w:rPr>
      </w:pPr>
      <w:r>
        <w:rPr>
          <w:rFonts w:hint="eastAsia" w:ascii="仿宋_GB2312" w:hAnsi="宋体" w:eastAsia="仿宋_GB2312"/>
          <w:color w:val="000000" w:themeColor="text1"/>
          <w:sz w:val="28"/>
          <w:szCs w:val="28"/>
        </w:rPr>
        <w:t>产品种类见表1。</w:t>
      </w:r>
    </w:p>
    <w:p>
      <w:pPr>
        <w:snapToGrid w:val="0"/>
        <w:spacing w:line="360" w:lineRule="auto"/>
        <w:jc w:val="center"/>
        <w:rPr>
          <w:rFonts w:ascii="黑体" w:hAnsi="宋体" w:eastAsia="黑体"/>
          <w:color w:val="000000" w:themeColor="text1"/>
          <w:sz w:val="28"/>
          <w:szCs w:val="28"/>
        </w:rPr>
      </w:pPr>
      <w:r>
        <w:rPr>
          <w:rFonts w:hint="eastAsia" w:ascii="黑体" w:hAnsi="宋体" w:eastAsia="黑体"/>
          <w:color w:val="000000" w:themeColor="text1"/>
          <w:sz w:val="28"/>
          <w:szCs w:val="28"/>
        </w:rPr>
        <w:t>表1  产品种类</w:t>
      </w:r>
    </w:p>
    <w:tbl>
      <w:tblPr>
        <w:tblStyle w:val="21"/>
        <w:tblW w:w="837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1"/>
        <w:gridCol w:w="60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371" w:type="dxa"/>
            <w:vAlign w:val="center"/>
          </w:tcPr>
          <w:p>
            <w:pPr>
              <w:tabs>
                <w:tab w:val="left" w:pos="4680"/>
              </w:tabs>
              <w:spacing w:line="320" w:lineRule="exact"/>
              <w:ind w:firstLine="120" w:firstLineChars="50"/>
              <w:jc w:val="center"/>
              <w:rPr>
                <w:rFonts w:ascii="黑体" w:hAnsi="宋体" w:eastAsia="黑体"/>
                <w:color w:val="000000" w:themeColor="text1"/>
                <w:sz w:val="24"/>
                <w:szCs w:val="24"/>
              </w:rPr>
            </w:pPr>
            <w:r>
              <w:rPr>
                <w:rFonts w:hint="eastAsia" w:ascii="黑体" w:hAnsi="宋体" w:eastAsia="黑体"/>
                <w:color w:val="000000" w:themeColor="text1"/>
                <w:sz w:val="24"/>
                <w:szCs w:val="24"/>
              </w:rPr>
              <w:t>产品种类</w:t>
            </w:r>
          </w:p>
        </w:tc>
        <w:tc>
          <w:tcPr>
            <w:tcW w:w="6004" w:type="dxa"/>
            <w:vAlign w:val="center"/>
          </w:tcPr>
          <w:p>
            <w:pPr>
              <w:tabs>
                <w:tab w:val="left" w:pos="4680"/>
              </w:tabs>
              <w:spacing w:line="320" w:lineRule="exact"/>
              <w:ind w:firstLine="120" w:firstLineChars="50"/>
              <w:jc w:val="center"/>
              <w:rPr>
                <w:rFonts w:ascii="黑体" w:eastAsia="黑体"/>
                <w:color w:val="000000" w:themeColor="text1"/>
                <w:sz w:val="24"/>
                <w:szCs w:val="24"/>
              </w:rPr>
            </w:pPr>
            <w:r>
              <w:rPr>
                <w:rFonts w:hint="eastAsia" w:ascii="黑体" w:eastAsia="黑体"/>
                <w:color w:val="000000" w:themeColor="text1"/>
                <w:sz w:val="24"/>
                <w:szCs w:val="24"/>
              </w:rPr>
              <w:t>包含产品列举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371" w:type="dxa"/>
            <w:vAlign w:val="center"/>
          </w:tcPr>
          <w:p>
            <w:pPr>
              <w:tabs>
                <w:tab w:val="left" w:pos="4680"/>
              </w:tabs>
              <w:spacing w:line="320" w:lineRule="exact"/>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儿童及婴幼儿服装</w:t>
            </w:r>
          </w:p>
        </w:tc>
        <w:tc>
          <w:tcPr>
            <w:tcW w:w="6004" w:type="dxa"/>
            <w:vAlign w:val="center"/>
          </w:tcPr>
          <w:p>
            <w:pPr>
              <w:tabs>
                <w:tab w:val="left" w:pos="4680"/>
              </w:tabs>
              <w:spacing w:line="320" w:lineRule="exact"/>
              <w:jc w:val="center"/>
              <w:rPr>
                <w:rFonts w:ascii="仿宋_GB2312" w:eastAsia="仿宋_GB2312"/>
                <w:color w:val="000000" w:themeColor="text1"/>
                <w:sz w:val="24"/>
                <w:szCs w:val="24"/>
              </w:rPr>
            </w:pPr>
            <w:r>
              <w:rPr>
                <w:rFonts w:hint="eastAsia" w:ascii="仿宋_GB2312" w:hAnsi="宋体" w:eastAsia="仿宋_GB2312"/>
                <w:color w:val="000000" w:themeColor="text1"/>
                <w:sz w:val="24"/>
                <w:szCs w:val="24"/>
              </w:rPr>
              <w:t>儿童服装、婴幼儿服装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371" w:type="dxa"/>
            <w:vAlign w:val="center"/>
          </w:tcPr>
          <w:p>
            <w:pPr>
              <w:tabs>
                <w:tab w:val="left" w:pos="4680"/>
              </w:tabs>
              <w:spacing w:line="320" w:lineRule="exact"/>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成人服装</w:t>
            </w:r>
          </w:p>
        </w:tc>
        <w:tc>
          <w:tcPr>
            <w:tcW w:w="6004" w:type="dxa"/>
            <w:vAlign w:val="center"/>
          </w:tcPr>
          <w:p>
            <w:pPr>
              <w:tabs>
                <w:tab w:val="left" w:pos="4680"/>
              </w:tabs>
              <w:spacing w:line="320" w:lineRule="exact"/>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羊绒针织品、毛针织品、西服、大衣、休闲服装、内衣、衬衫、运动服装、羽绒服装、泳装、泳帽等。</w:t>
            </w:r>
          </w:p>
        </w:tc>
      </w:tr>
    </w:tbl>
    <w:p>
      <w:pPr>
        <w:snapToGrid w:val="0"/>
        <w:spacing w:line="360" w:lineRule="auto"/>
        <w:rPr>
          <w:rFonts w:ascii="仿宋_GB2312" w:hAnsi="宋体" w:eastAsia="仿宋_GB2312"/>
          <w:b/>
          <w:color w:val="000000" w:themeColor="text1"/>
          <w:sz w:val="28"/>
          <w:szCs w:val="28"/>
        </w:rPr>
      </w:pPr>
      <w:r>
        <w:rPr>
          <w:rFonts w:hint="eastAsia" w:ascii="仿宋_GB2312" w:hAnsi="宋体" w:eastAsia="仿宋_GB2312"/>
          <w:b/>
          <w:color w:val="000000" w:themeColor="text1"/>
          <w:sz w:val="28"/>
          <w:szCs w:val="28"/>
        </w:rPr>
        <w:t>3 术语和定义</w:t>
      </w:r>
    </w:p>
    <w:p>
      <w:pPr>
        <w:snapToGrid w:val="0"/>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婴幼儿纺织产品：年龄在36个月及以下的婴幼儿穿着或使用的纺织产品（一般适用于身高100cm及以下婴幼儿穿着或使用的纺织产品）。</w:t>
      </w:r>
    </w:p>
    <w:p>
      <w:pPr>
        <w:snapToGrid w:val="0"/>
        <w:spacing w:line="360" w:lineRule="auto"/>
        <w:ind w:firstLine="560" w:firstLineChars="200"/>
        <w:rPr>
          <w:rFonts w:hint="eastAsia" w:ascii="仿宋_GB2312" w:hAnsi="ˎ̥" w:eastAsia="仿宋_GB2312"/>
          <w:sz w:val="28"/>
          <w:szCs w:val="28"/>
        </w:rPr>
      </w:pPr>
      <w:r>
        <w:rPr>
          <w:rFonts w:hint="eastAsia" w:ascii="仿宋_GB2312" w:hAnsi="宋体" w:eastAsia="仿宋_GB2312"/>
          <w:sz w:val="28"/>
          <w:szCs w:val="28"/>
        </w:rPr>
        <w:t>儿童纺织产品：年龄在3岁以上，14岁及以下的儿童穿着或使用的纺织产品（一般适用于身高100cm以上，155cm及以下女童或160cm及以下男童穿着或使用的纺织产品）。</w:t>
      </w:r>
    </w:p>
    <w:p>
      <w:pPr>
        <w:snapToGrid w:val="0"/>
        <w:spacing w:line="360" w:lineRule="auto"/>
        <w:ind w:firstLine="560" w:firstLineChars="200"/>
        <w:rPr>
          <w:rFonts w:ascii="仿宋_GB2312" w:hAnsi="宋体" w:eastAsia="仿宋_GB2312"/>
          <w:color w:val="000000" w:themeColor="text1"/>
          <w:sz w:val="28"/>
          <w:szCs w:val="28"/>
        </w:rPr>
      </w:pPr>
      <w:r>
        <w:rPr>
          <w:rFonts w:hint="eastAsia" w:ascii="仿宋_GB2312" w:hAnsi="宋体" w:eastAsia="仿宋_GB2312"/>
          <w:color w:val="000000" w:themeColor="text1"/>
          <w:sz w:val="28"/>
          <w:szCs w:val="28"/>
        </w:rPr>
        <w:t>本规范中未列出的术语和定义同相关引用标准。</w:t>
      </w:r>
    </w:p>
    <w:p>
      <w:pPr>
        <w:snapToGrid w:val="0"/>
        <w:spacing w:line="360" w:lineRule="auto"/>
        <w:rPr>
          <w:rFonts w:ascii="仿宋_GB2312" w:hAnsi="宋体" w:eastAsia="仿宋_GB2312"/>
          <w:b/>
          <w:color w:val="000000" w:themeColor="text1"/>
          <w:sz w:val="28"/>
          <w:szCs w:val="28"/>
        </w:rPr>
      </w:pPr>
      <w:r>
        <w:rPr>
          <w:rFonts w:hint="eastAsia" w:ascii="仿宋_GB2312" w:hAnsi="宋体" w:eastAsia="仿宋_GB2312"/>
          <w:b/>
          <w:color w:val="000000" w:themeColor="text1"/>
          <w:sz w:val="28"/>
          <w:szCs w:val="28"/>
        </w:rPr>
        <w:t>4 检验依据</w:t>
      </w:r>
    </w:p>
    <w:p>
      <w:pPr>
        <w:snapToGrid w:val="0"/>
        <w:spacing w:line="360" w:lineRule="auto"/>
        <w:ind w:firstLine="570"/>
        <w:outlineLvl w:val="0"/>
        <w:rPr>
          <w:rFonts w:ascii="仿宋_GB2312" w:hAnsi="宋体" w:eastAsia="仿宋_GB2312"/>
          <w:color w:val="000000" w:themeColor="text1"/>
          <w:sz w:val="28"/>
          <w:szCs w:val="28"/>
        </w:rPr>
      </w:pPr>
      <w:r>
        <w:rPr>
          <w:rFonts w:hint="eastAsia" w:ascii="仿宋_GB2312" w:hAnsi="宋体" w:eastAsia="仿宋_GB2312"/>
          <w:color w:val="000000" w:themeColor="text1"/>
          <w:sz w:val="28"/>
          <w:szCs w:val="28"/>
        </w:rPr>
        <w:t>检验依据见表2。</w:t>
      </w:r>
    </w:p>
    <w:p>
      <w:pPr>
        <w:snapToGrid w:val="0"/>
        <w:spacing w:line="360" w:lineRule="auto"/>
        <w:jc w:val="center"/>
        <w:rPr>
          <w:rFonts w:ascii="黑体" w:hAnsi="宋体" w:eastAsia="黑体"/>
          <w:color w:val="000000" w:themeColor="text1"/>
          <w:sz w:val="28"/>
          <w:szCs w:val="28"/>
        </w:rPr>
      </w:pPr>
      <w:r>
        <w:rPr>
          <w:rFonts w:hint="eastAsia" w:ascii="黑体" w:hAnsi="宋体" w:eastAsia="黑体"/>
          <w:color w:val="000000" w:themeColor="text1"/>
          <w:sz w:val="28"/>
          <w:szCs w:val="28"/>
        </w:rPr>
        <w:t>表2  检验依据</w:t>
      </w:r>
    </w:p>
    <w:tbl>
      <w:tblPr>
        <w:tblStyle w:val="21"/>
        <w:tblW w:w="910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13"/>
        <w:gridCol w:w="4200"/>
        <w:gridCol w:w="27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2113" w:type="dxa"/>
            <w:vAlign w:val="center"/>
          </w:tcPr>
          <w:p>
            <w:pPr>
              <w:spacing w:before="50" w:line="360" w:lineRule="auto"/>
              <w:jc w:val="center"/>
              <w:rPr>
                <w:rFonts w:ascii="黑体" w:hAnsi="宋体" w:eastAsia="黑体"/>
                <w:color w:val="000000" w:themeColor="text1"/>
                <w:sz w:val="24"/>
                <w:szCs w:val="24"/>
              </w:rPr>
            </w:pPr>
            <w:r>
              <w:rPr>
                <w:rFonts w:hint="eastAsia" w:ascii="黑体" w:hAnsi="宋体" w:eastAsia="黑体"/>
                <w:color w:val="000000" w:themeColor="text1"/>
                <w:sz w:val="24"/>
                <w:szCs w:val="24"/>
              </w:rPr>
              <w:t>标准号</w:t>
            </w:r>
          </w:p>
        </w:tc>
        <w:tc>
          <w:tcPr>
            <w:tcW w:w="4200" w:type="dxa"/>
            <w:vAlign w:val="center"/>
          </w:tcPr>
          <w:p>
            <w:pPr>
              <w:spacing w:before="50" w:line="360" w:lineRule="auto"/>
              <w:jc w:val="center"/>
              <w:rPr>
                <w:rFonts w:ascii="黑体" w:hAnsi="宋体" w:eastAsia="黑体"/>
                <w:color w:val="000000" w:themeColor="text1"/>
                <w:sz w:val="24"/>
                <w:szCs w:val="24"/>
              </w:rPr>
            </w:pPr>
            <w:r>
              <w:rPr>
                <w:rFonts w:hint="eastAsia" w:ascii="黑体" w:hAnsi="宋体" w:eastAsia="黑体"/>
                <w:color w:val="000000" w:themeColor="text1"/>
                <w:sz w:val="24"/>
                <w:szCs w:val="24"/>
              </w:rPr>
              <w:t>标准名称</w:t>
            </w:r>
          </w:p>
        </w:tc>
        <w:tc>
          <w:tcPr>
            <w:tcW w:w="2794" w:type="dxa"/>
            <w:vAlign w:val="center"/>
          </w:tcPr>
          <w:p>
            <w:pPr>
              <w:spacing w:before="50" w:line="360" w:lineRule="auto"/>
              <w:jc w:val="center"/>
              <w:rPr>
                <w:rFonts w:ascii="黑体" w:hAnsi="宋体" w:eastAsia="黑体"/>
                <w:color w:val="000000" w:themeColor="text1"/>
                <w:sz w:val="24"/>
                <w:szCs w:val="24"/>
              </w:rPr>
            </w:pPr>
            <w:r>
              <w:rPr>
                <w:rFonts w:hint="eastAsia" w:ascii="黑体" w:hAnsi="宋体" w:eastAsia="黑体"/>
                <w:color w:val="000000" w:themeColor="text1"/>
                <w:sz w:val="24"/>
                <w:szCs w:val="24"/>
              </w:rPr>
              <w:t>请在已获资质处划勾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113" w:type="dxa"/>
            <w:vAlign w:val="center"/>
          </w:tcPr>
          <w:p>
            <w:pPr>
              <w:spacing w:before="50" w:line="360" w:lineRule="auto"/>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GB 18401</w:t>
            </w:r>
          </w:p>
        </w:tc>
        <w:tc>
          <w:tcPr>
            <w:tcW w:w="4200" w:type="dxa"/>
            <w:vAlign w:val="center"/>
          </w:tcPr>
          <w:p>
            <w:pPr>
              <w:spacing w:before="50" w:line="360" w:lineRule="auto"/>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国家纺织产品基本安全技术规范</w:t>
            </w:r>
          </w:p>
        </w:tc>
        <w:tc>
          <w:tcPr>
            <w:tcW w:w="2794" w:type="dxa"/>
            <w:vAlign w:val="center"/>
          </w:tcPr>
          <w:p>
            <w:pPr>
              <w:spacing w:before="50" w:line="360" w:lineRule="auto"/>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sym w:font="Wingdings 2" w:char="F052"/>
            </w:r>
            <w:r>
              <w:rPr>
                <w:rFonts w:hint="eastAsia" w:ascii="仿宋_GB2312" w:hAnsi="宋体" w:eastAsia="仿宋_GB2312"/>
                <w:color w:val="000000" w:themeColor="text1"/>
                <w:sz w:val="24"/>
                <w:szCs w:val="24"/>
              </w:rPr>
              <w:t xml:space="preserve">CMA  </w:t>
            </w:r>
            <w:r>
              <w:rPr>
                <w:rFonts w:hint="eastAsia" w:ascii="仿宋_GB2312" w:hAnsi="宋体" w:eastAsia="仿宋_GB2312"/>
                <w:color w:val="000000" w:themeColor="text1"/>
                <w:sz w:val="24"/>
                <w:szCs w:val="24"/>
              </w:rPr>
              <w:sym w:font="Wingdings 2" w:char="F052"/>
            </w:r>
            <w:r>
              <w:rPr>
                <w:rFonts w:hint="eastAsia" w:ascii="仿宋_GB2312" w:hAnsi="宋体" w:eastAsia="仿宋_GB2312"/>
                <w:color w:val="000000" w:themeColor="text1"/>
                <w:sz w:val="24"/>
                <w:szCs w:val="24"/>
              </w:rPr>
              <w:t xml:space="preserve">CAL </w:t>
            </w:r>
            <w:r>
              <w:rPr>
                <w:rFonts w:hint="eastAsia" w:ascii="仿宋_GB2312" w:hAnsi="宋体" w:eastAsia="仿宋_GB2312"/>
                <w:color w:val="000000" w:themeColor="text1"/>
                <w:sz w:val="24"/>
                <w:szCs w:val="24"/>
              </w:rPr>
              <w:sym w:font="Wingdings 2" w:char="F052"/>
            </w:r>
            <w:r>
              <w:rPr>
                <w:rFonts w:hint="eastAsia" w:ascii="仿宋_GB2312" w:hAnsi="宋体" w:eastAsia="仿宋_GB2312"/>
                <w:color w:val="000000" w:themeColor="text1"/>
                <w:sz w:val="24"/>
                <w:szCs w:val="24"/>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113" w:type="dxa"/>
            <w:vAlign w:val="center"/>
          </w:tcPr>
          <w:p>
            <w:pPr>
              <w:spacing w:before="50" w:line="360" w:lineRule="auto"/>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GB 31701</w:t>
            </w:r>
          </w:p>
        </w:tc>
        <w:tc>
          <w:tcPr>
            <w:tcW w:w="4200" w:type="dxa"/>
            <w:vAlign w:val="center"/>
          </w:tcPr>
          <w:p>
            <w:pPr>
              <w:spacing w:before="50" w:line="360" w:lineRule="auto"/>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婴幼儿及儿童纺织产品安全技术规范</w:t>
            </w:r>
          </w:p>
        </w:tc>
        <w:tc>
          <w:tcPr>
            <w:tcW w:w="2794" w:type="dxa"/>
            <w:vAlign w:val="center"/>
          </w:tcPr>
          <w:p>
            <w:pPr>
              <w:spacing w:before="50" w:line="360" w:lineRule="auto"/>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sym w:font="Wingdings 2" w:char="F052"/>
            </w:r>
            <w:r>
              <w:rPr>
                <w:rFonts w:hint="eastAsia" w:ascii="仿宋_GB2312" w:hAnsi="宋体" w:eastAsia="仿宋_GB2312"/>
                <w:color w:val="000000" w:themeColor="text1"/>
                <w:sz w:val="24"/>
                <w:szCs w:val="24"/>
              </w:rPr>
              <w:t xml:space="preserve">CMA  </w:t>
            </w:r>
            <w:r>
              <w:rPr>
                <w:rFonts w:hint="eastAsia" w:ascii="仿宋_GB2312" w:hAnsi="宋体" w:eastAsia="仿宋_GB2312"/>
                <w:color w:val="000000" w:themeColor="text1"/>
                <w:sz w:val="24"/>
                <w:szCs w:val="24"/>
              </w:rPr>
              <w:sym w:font="Wingdings 2" w:char="F052"/>
            </w:r>
            <w:r>
              <w:rPr>
                <w:rFonts w:hint="eastAsia" w:ascii="仿宋_GB2312" w:hAnsi="宋体" w:eastAsia="仿宋_GB2312"/>
                <w:color w:val="000000" w:themeColor="text1"/>
                <w:sz w:val="24"/>
                <w:szCs w:val="24"/>
              </w:rPr>
              <w:t xml:space="preserve">CAL </w:t>
            </w:r>
            <w:r>
              <w:rPr>
                <w:rFonts w:hint="eastAsia" w:ascii="仿宋_GB2312" w:hAnsi="宋体" w:eastAsia="仿宋_GB2312"/>
                <w:color w:val="000000" w:themeColor="text1"/>
                <w:sz w:val="24"/>
                <w:szCs w:val="24"/>
              </w:rPr>
              <w:sym w:font="Wingdings 2" w:char="F052"/>
            </w:r>
            <w:r>
              <w:rPr>
                <w:rFonts w:hint="eastAsia" w:ascii="仿宋_GB2312" w:hAnsi="宋体" w:eastAsia="仿宋_GB2312"/>
                <w:color w:val="000000" w:themeColor="text1"/>
                <w:sz w:val="24"/>
                <w:szCs w:val="24"/>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113" w:type="dxa"/>
            <w:vAlign w:val="center"/>
          </w:tcPr>
          <w:p>
            <w:pPr>
              <w:spacing w:before="50" w:line="360" w:lineRule="auto"/>
              <w:jc w:val="center"/>
              <w:rPr>
                <w:rFonts w:ascii="仿宋_GB2312" w:hAnsi="宋体" w:eastAsia="仿宋_GB2312"/>
                <w:sz w:val="24"/>
                <w:szCs w:val="24"/>
              </w:rPr>
            </w:pPr>
            <w:r>
              <w:rPr>
                <w:rFonts w:hint="eastAsia" w:ascii="仿宋_GB2312" w:hAnsi="宋体" w:eastAsia="仿宋_GB2312"/>
                <w:sz w:val="24"/>
                <w:szCs w:val="24"/>
              </w:rPr>
              <w:t>GB 20400</w:t>
            </w:r>
          </w:p>
        </w:tc>
        <w:tc>
          <w:tcPr>
            <w:tcW w:w="4200" w:type="dxa"/>
            <w:vAlign w:val="center"/>
          </w:tcPr>
          <w:p>
            <w:pPr>
              <w:spacing w:before="50" w:line="360" w:lineRule="auto"/>
              <w:jc w:val="center"/>
              <w:rPr>
                <w:rFonts w:ascii="仿宋_GB2312" w:hAnsi="宋体" w:eastAsia="仿宋_GB2312"/>
                <w:sz w:val="24"/>
                <w:szCs w:val="24"/>
              </w:rPr>
            </w:pPr>
            <w:r>
              <w:rPr>
                <w:rFonts w:hint="eastAsia" w:ascii="仿宋_GB2312" w:hAnsi="宋体" w:eastAsia="仿宋_GB2312"/>
                <w:sz w:val="24"/>
                <w:szCs w:val="24"/>
              </w:rPr>
              <w:t>皮革和毛皮有害物质限量</w:t>
            </w:r>
          </w:p>
        </w:tc>
        <w:tc>
          <w:tcPr>
            <w:tcW w:w="2794" w:type="dxa"/>
            <w:vAlign w:val="center"/>
          </w:tcPr>
          <w:p>
            <w:pPr>
              <w:spacing w:before="50" w:line="360" w:lineRule="auto"/>
              <w:jc w:val="center"/>
              <w:rPr>
                <w:rFonts w:ascii="仿宋_GB2312" w:hAnsi="宋体" w:eastAsia="仿宋_GB2312"/>
                <w:sz w:val="24"/>
                <w:szCs w:val="24"/>
              </w:rPr>
            </w:pPr>
            <w:r>
              <w:rPr>
                <w:rFonts w:hint="eastAsia" w:ascii="仿宋_GB2312" w:hAnsi="宋体" w:eastAsia="仿宋_GB2312"/>
                <w:sz w:val="24"/>
                <w:szCs w:val="24"/>
              </w:rPr>
              <w:sym w:font="Wingdings 2" w:char="F052"/>
            </w:r>
            <w:r>
              <w:rPr>
                <w:rFonts w:hint="eastAsia" w:ascii="仿宋_GB2312" w:hAnsi="宋体" w:eastAsia="仿宋_GB2312"/>
                <w:sz w:val="24"/>
                <w:szCs w:val="24"/>
              </w:rPr>
              <w:t xml:space="preserve">CMA  </w:t>
            </w:r>
            <w:r>
              <w:rPr>
                <w:rFonts w:hint="eastAsia" w:ascii="仿宋_GB2312" w:hAnsi="宋体" w:eastAsia="仿宋_GB2312"/>
                <w:sz w:val="24"/>
                <w:szCs w:val="24"/>
              </w:rPr>
              <w:sym w:font="Wingdings 2" w:char="F052"/>
            </w:r>
            <w:r>
              <w:rPr>
                <w:rFonts w:hint="eastAsia" w:ascii="仿宋_GB2312" w:hAnsi="宋体" w:eastAsia="仿宋_GB2312"/>
                <w:sz w:val="24"/>
                <w:szCs w:val="24"/>
              </w:rPr>
              <w:t xml:space="preserve">CAL </w:t>
            </w:r>
            <w:r>
              <w:rPr>
                <w:rFonts w:hint="eastAsia" w:ascii="仿宋_GB2312" w:hAnsi="宋体" w:eastAsia="仿宋_GB2312"/>
                <w:sz w:val="24"/>
                <w:szCs w:val="24"/>
              </w:rPr>
              <w:sym w:font="Wingdings 2" w:char="F052"/>
            </w:r>
            <w:r>
              <w:rPr>
                <w:rFonts w:hint="eastAsia" w:ascii="仿宋_GB2312" w:hAnsi="宋体" w:eastAsia="仿宋_GB2312"/>
                <w:sz w:val="24"/>
                <w:szCs w:val="24"/>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113" w:type="dxa"/>
            <w:vAlign w:val="center"/>
          </w:tcPr>
          <w:p>
            <w:pPr>
              <w:spacing w:before="50" w:line="360" w:lineRule="auto"/>
              <w:jc w:val="center"/>
              <w:rPr>
                <w:rFonts w:ascii="仿宋_GB2312" w:hAnsi="宋体" w:eastAsia="仿宋_GB2312"/>
                <w:sz w:val="24"/>
                <w:szCs w:val="24"/>
              </w:rPr>
            </w:pPr>
            <w:r>
              <w:rPr>
                <w:rFonts w:hint="eastAsia" w:ascii="仿宋_GB2312" w:hAnsi="宋体" w:eastAsia="仿宋_GB2312"/>
                <w:sz w:val="24"/>
                <w:szCs w:val="24"/>
              </w:rPr>
              <w:t>GB/T 29862</w:t>
            </w:r>
          </w:p>
        </w:tc>
        <w:tc>
          <w:tcPr>
            <w:tcW w:w="4200" w:type="dxa"/>
            <w:vAlign w:val="center"/>
          </w:tcPr>
          <w:p>
            <w:pPr>
              <w:spacing w:before="50" w:line="360" w:lineRule="auto"/>
              <w:jc w:val="center"/>
              <w:rPr>
                <w:rFonts w:ascii="仿宋_GB2312" w:hAnsi="宋体" w:eastAsia="仿宋_GB2312"/>
                <w:sz w:val="24"/>
                <w:szCs w:val="24"/>
              </w:rPr>
            </w:pPr>
            <w:r>
              <w:rPr>
                <w:rFonts w:hint="eastAsia" w:ascii="仿宋_GB2312" w:hAnsi="宋体" w:eastAsia="仿宋_GB2312"/>
                <w:sz w:val="24"/>
                <w:szCs w:val="24"/>
              </w:rPr>
              <w:t>纺织品 纤维含量的标识</w:t>
            </w:r>
          </w:p>
        </w:tc>
        <w:tc>
          <w:tcPr>
            <w:tcW w:w="2794" w:type="dxa"/>
            <w:vAlign w:val="center"/>
          </w:tcPr>
          <w:p>
            <w:pPr>
              <w:spacing w:before="50" w:line="360" w:lineRule="auto"/>
              <w:jc w:val="center"/>
              <w:rPr>
                <w:rFonts w:ascii="仿宋_GB2312" w:hAnsi="宋体" w:eastAsia="仿宋_GB2312"/>
                <w:sz w:val="24"/>
                <w:szCs w:val="24"/>
              </w:rPr>
            </w:pPr>
            <w:r>
              <w:rPr>
                <w:rFonts w:hint="eastAsia" w:ascii="仿宋_GB2312" w:hAnsi="宋体" w:eastAsia="仿宋_GB2312"/>
                <w:sz w:val="24"/>
                <w:szCs w:val="24"/>
              </w:rPr>
              <w:sym w:font="Wingdings 2" w:char="F052"/>
            </w:r>
            <w:r>
              <w:rPr>
                <w:rFonts w:hint="eastAsia" w:ascii="仿宋_GB2312" w:hAnsi="宋体" w:eastAsia="仿宋_GB2312"/>
                <w:sz w:val="24"/>
                <w:szCs w:val="24"/>
              </w:rPr>
              <w:t xml:space="preserve">CMA  </w:t>
            </w:r>
            <w:r>
              <w:rPr>
                <w:rFonts w:hint="eastAsia" w:ascii="仿宋_GB2312" w:hAnsi="宋体" w:eastAsia="仿宋_GB2312"/>
                <w:sz w:val="24"/>
                <w:szCs w:val="24"/>
              </w:rPr>
              <w:sym w:font="Wingdings 2" w:char="F052"/>
            </w:r>
            <w:r>
              <w:rPr>
                <w:rFonts w:hint="eastAsia" w:ascii="仿宋_GB2312" w:hAnsi="宋体" w:eastAsia="仿宋_GB2312"/>
                <w:sz w:val="24"/>
                <w:szCs w:val="24"/>
              </w:rPr>
              <w:t xml:space="preserve">CAL </w:t>
            </w:r>
            <w:r>
              <w:rPr>
                <w:rFonts w:hint="eastAsia" w:ascii="仿宋_GB2312" w:hAnsi="宋体" w:eastAsia="仿宋_GB2312"/>
                <w:sz w:val="24"/>
                <w:szCs w:val="24"/>
              </w:rPr>
              <w:sym w:font="Wingdings 2" w:char="F052"/>
            </w:r>
            <w:r>
              <w:rPr>
                <w:rFonts w:hint="eastAsia" w:ascii="仿宋_GB2312" w:hAnsi="宋体" w:eastAsia="仿宋_GB2312"/>
                <w:sz w:val="24"/>
                <w:szCs w:val="24"/>
              </w:rPr>
              <w:t>CNAS</w:t>
            </w:r>
          </w:p>
        </w:tc>
      </w:tr>
    </w:tbl>
    <w:p>
      <w:pPr>
        <w:snapToGrid w:val="0"/>
        <w:spacing w:line="360" w:lineRule="auto"/>
        <w:ind w:firstLine="560" w:firstLineChars="200"/>
        <w:rPr>
          <w:rFonts w:ascii="仿宋_GB2312" w:hAnsi="宋体" w:eastAsia="仿宋_GB2312"/>
          <w:color w:val="000000" w:themeColor="text1"/>
          <w:sz w:val="28"/>
          <w:szCs w:val="28"/>
        </w:rPr>
      </w:pPr>
      <w:r>
        <w:rPr>
          <w:rFonts w:hint="eastAsia" w:ascii="仿宋_GB2312" w:hAnsi="宋体" w:eastAsia="仿宋_GB2312"/>
          <w:color w:val="000000" w:themeColor="text1"/>
          <w:sz w:val="28"/>
          <w:szCs w:val="28"/>
        </w:rPr>
        <w:t>相关产品的强制性标准、行业标准、政府法规及产品的明示标准（包括备案的企业标准）和明示担保内容。</w:t>
      </w:r>
    </w:p>
    <w:p>
      <w:pPr>
        <w:spacing w:line="360" w:lineRule="auto"/>
        <w:rPr>
          <w:rFonts w:ascii="仿宋_GB2312" w:hAnsi="宋体" w:eastAsia="仿宋_GB2312"/>
          <w:b/>
          <w:color w:val="000000" w:themeColor="text1"/>
          <w:sz w:val="28"/>
          <w:szCs w:val="28"/>
        </w:rPr>
      </w:pPr>
      <w:r>
        <w:rPr>
          <w:rFonts w:hint="eastAsia" w:ascii="仿宋_GB2312" w:hAnsi="宋体" w:eastAsia="仿宋_GB2312"/>
          <w:b/>
          <w:color w:val="000000" w:themeColor="text1"/>
          <w:sz w:val="28"/>
          <w:szCs w:val="28"/>
        </w:rPr>
        <w:t>5 抽样</w:t>
      </w:r>
    </w:p>
    <w:p>
      <w:pPr>
        <w:snapToGrid w:val="0"/>
        <w:spacing w:line="360" w:lineRule="auto"/>
        <w:rPr>
          <w:rFonts w:ascii="仿宋_GB2312" w:hAnsi="宋体" w:eastAsia="仿宋_GB2312"/>
          <w:b/>
          <w:color w:val="000000" w:themeColor="text1"/>
          <w:sz w:val="28"/>
          <w:szCs w:val="28"/>
        </w:rPr>
      </w:pPr>
      <w:r>
        <w:rPr>
          <w:rFonts w:hint="eastAsia" w:ascii="仿宋_GB2312" w:hAnsi="宋体" w:eastAsia="仿宋_GB2312"/>
          <w:b/>
          <w:color w:val="000000" w:themeColor="text1"/>
          <w:sz w:val="28"/>
          <w:szCs w:val="28"/>
        </w:rPr>
        <w:t>5.1 抽样型号或规格</w:t>
      </w:r>
    </w:p>
    <w:p>
      <w:pPr>
        <w:snapToGrid w:val="0"/>
        <w:spacing w:line="360" w:lineRule="auto"/>
        <w:ind w:firstLine="537" w:firstLineChars="192"/>
        <w:rPr>
          <w:rFonts w:ascii="仿宋_GB2312" w:hAnsi="宋体" w:eastAsia="仿宋_GB2312"/>
          <w:sz w:val="28"/>
          <w:szCs w:val="28"/>
        </w:rPr>
      </w:pPr>
      <w:r>
        <w:rPr>
          <w:rFonts w:hint="eastAsia" w:ascii="仿宋_GB2312" w:hAnsi="宋体" w:eastAsia="仿宋_GB2312"/>
          <w:sz w:val="28"/>
          <w:szCs w:val="28"/>
        </w:rPr>
        <w:t>根据产品的销售单元（件/条/套）抽取相同款式（货/款号）、相同花型和相同颜色的同一批次的产品。</w:t>
      </w:r>
    </w:p>
    <w:p>
      <w:pPr>
        <w:snapToGrid w:val="0"/>
        <w:spacing w:line="360" w:lineRule="auto"/>
        <w:rPr>
          <w:rFonts w:ascii="仿宋_GB2312" w:hAnsi="宋体" w:eastAsia="仿宋_GB2312"/>
          <w:b/>
          <w:color w:val="000000" w:themeColor="text1"/>
          <w:sz w:val="28"/>
          <w:szCs w:val="28"/>
        </w:rPr>
      </w:pPr>
      <w:r>
        <w:rPr>
          <w:rFonts w:hint="eastAsia" w:ascii="仿宋_GB2312" w:hAnsi="宋体" w:eastAsia="仿宋_GB2312"/>
          <w:b/>
          <w:color w:val="000000" w:themeColor="text1"/>
          <w:sz w:val="28"/>
          <w:szCs w:val="28"/>
        </w:rPr>
        <w:t>5.2 抽样方法</w:t>
      </w:r>
    </w:p>
    <w:p>
      <w:pPr>
        <w:adjustRightInd w:val="0"/>
        <w:snapToGrid w:val="0"/>
        <w:spacing w:line="360" w:lineRule="auto"/>
        <w:ind w:firstLine="560" w:firstLineChars="200"/>
        <w:rPr>
          <w:rFonts w:ascii="仿宋_GB2312" w:hAnsi="宋体" w:eastAsia="仿宋_GB2312" w:cs="Times New Roman"/>
          <w:sz w:val="28"/>
          <w:szCs w:val="28"/>
        </w:rPr>
      </w:pPr>
      <w:r>
        <w:rPr>
          <w:rFonts w:hint="eastAsia" w:ascii="仿宋_GB2312" w:hAnsi="宋体" w:eastAsia="仿宋_GB2312" w:cs="Times New Roman"/>
          <w:sz w:val="28"/>
          <w:szCs w:val="28"/>
        </w:rPr>
        <w:t>在生产企业的成品库内、生产线末端随机抽取经企业检验合格或以任何方式表明已检验合格的并在国内销售的成品。在生产企业抽样原则上由企业按规定无偿提供样品。</w:t>
      </w:r>
    </w:p>
    <w:p>
      <w:pPr>
        <w:adjustRightInd w:val="0"/>
        <w:snapToGrid w:val="0"/>
        <w:spacing w:line="360" w:lineRule="auto"/>
        <w:ind w:firstLine="560" w:firstLineChars="200"/>
        <w:rPr>
          <w:rFonts w:ascii="仿宋_GB2312" w:hAnsi="宋体" w:eastAsia="仿宋_GB2312" w:cs="Times New Roman"/>
          <w:sz w:val="28"/>
          <w:szCs w:val="28"/>
        </w:rPr>
      </w:pPr>
      <w:r>
        <w:rPr>
          <w:rFonts w:hint="eastAsia" w:ascii="仿宋_GB2312" w:hAnsi="宋体" w:eastAsia="仿宋_GB2312" w:cs="Times New Roman"/>
          <w:sz w:val="28"/>
          <w:szCs w:val="28"/>
        </w:rPr>
        <w:t>在市场上随机抽取经企业检验合格或以任何方式表明已检验合格的并在国内销售的成品。在经销企业抽样原则上以向商家购样为主。</w:t>
      </w:r>
    </w:p>
    <w:p>
      <w:pPr>
        <w:adjustRightInd w:val="0"/>
        <w:snapToGrid w:val="0"/>
        <w:spacing w:line="360" w:lineRule="auto"/>
        <w:ind w:firstLine="560" w:firstLineChars="200"/>
        <w:rPr>
          <w:rFonts w:ascii="仿宋_GB2312" w:hAnsi="宋体" w:eastAsia="仿宋_GB2312" w:cs="Times New Roman"/>
          <w:sz w:val="28"/>
          <w:szCs w:val="28"/>
        </w:rPr>
      </w:pPr>
      <w:r>
        <w:rPr>
          <w:rFonts w:hint="eastAsia" w:ascii="仿宋_GB2312" w:hAnsi="宋体" w:eastAsia="仿宋_GB2312" w:cs="Times New Roman"/>
          <w:sz w:val="28"/>
          <w:szCs w:val="28"/>
        </w:rPr>
        <w:t>在网络交易平台抽检，若网络交易平台是在深圳市登记注册的，可对该平台的自营商品进行抽检。若网络交易平台不在深圳市登记注册的，仅可对其平台上在深圳市依法登记的经营者销售的商品进行抽检。在网络平台抽样检验样品及备用样品原则上均以向商家购样为主。</w:t>
      </w:r>
    </w:p>
    <w:p>
      <w:pPr>
        <w:snapToGrid w:val="0"/>
        <w:spacing w:line="360" w:lineRule="auto"/>
        <w:rPr>
          <w:rFonts w:ascii="仿宋_GB2312" w:hAnsi="宋体" w:eastAsia="仿宋_GB2312"/>
          <w:b/>
          <w:color w:val="000000" w:themeColor="text1"/>
          <w:sz w:val="28"/>
          <w:szCs w:val="28"/>
        </w:rPr>
      </w:pPr>
      <w:r>
        <w:rPr>
          <w:rFonts w:hint="eastAsia" w:ascii="仿宋_GB2312" w:hAnsi="宋体" w:eastAsia="仿宋_GB2312"/>
          <w:b/>
          <w:color w:val="000000" w:themeColor="text1"/>
          <w:sz w:val="28"/>
          <w:szCs w:val="28"/>
        </w:rPr>
        <w:t>5.3 抽样基数</w:t>
      </w:r>
    </w:p>
    <w:p>
      <w:pPr>
        <w:snapToGrid w:val="0"/>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在生产企业和流通领域抽样的，抽样基数满足抽样数量即可。</w:t>
      </w:r>
    </w:p>
    <w:p>
      <w:pPr>
        <w:snapToGrid w:val="0"/>
        <w:spacing w:line="360" w:lineRule="auto"/>
        <w:rPr>
          <w:rFonts w:ascii="仿宋_GB2312" w:hAnsi="宋体" w:eastAsia="仿宋_GB2312"/>
          <w:b/>
          <w:color w:val="000000" w:themeColor="text1"/>
          <w:sz w:val="28"/>
          <w:szCs w:val="28"/>
        </w:rPr>
      </w:pPr>
      <w:r>
        <w:rPr>
          <w:rFonts w:hint="eastAsia" w:ascii="仿宋_GB2312" w:hAnsi="宋体" w:eastAsia="仿宋_GB2312"/>
          <w:b/>
          <w:color w:val="000000" w:themeColor="text1"/>
          <w:sz w:val="28"/>
          <w:szCs w:val="28"/>
        </w:rPr>
        <w:t>5.4 抽样数量</w:t>
      </w:r>
    </w:p>
    <w:p>
      <w:pPr>
        <w:snapToGrid w:val="0"/>
        <w:spacing w:line="360" w:lineRule="auto"/>
        <w:ind w:firstLine="570"/>
        <w:outlineLvl w:val="0"/>
        <w:rPr>
          <w:rFonts w:ascii="仿宋_GB2312" w:hAnsi="宋体" w:eastAsia="仿宋_GB2312"/>
          <w:color w:val="000000" w:themeColor="text1"/>
          <w:sz w:val="28"/>
          <w:szCs w:val="28"/>
        </w:rPr>
      </w:pPr>
      <w:r>
        <w:rPr>
          <w:rFonts w:hint="eastAsia" w:ascii="仿宋_GB2312" w:hAnsi="宋体" w:eastAsia="仿宋_GB2312"/>
          <w:color w:val="000000" w:themeColor="text1"/>
          <w:sz w:val="28"/>
          <w:szCs w:val="28"/>
        </w:rPr>
        <w:t>抽取样品的数量不得超过检验、复检的合理需要，具体数量见表3。</w:t>
      </w:r>
    </w:p>
    <w:p>
      <w:pPr>
        <w:snapToGrid w:val="0"/>
        <w:spacing w:line="360" w:lineRule="auto"/>
        <w:jc w:val="center"/>
        <w:rPr>
          <w:rFonts w:ascii="黑体" w:hAnsi="宋体" w:eastAsia="黑体"/>
          <w:color w:val="000000" w:themeColor="text1"/>
          <w:sz w:val="28"/>
          <w:szCs w:val="28"/>
        </w:rPr>
      </w:pPr>
      <w:r>
        <w:rPr>
          <w:rFonts w:hint="eastAsia" w:ascii="黑体" w:hAnsi="宋体" w:eastAsia="黑体"/>
          <w:color w:val="000000" w:themeColor="text1"/>
          <w:sz w:val="28"/>
          <w:szCs w:val="28"/>
        </w:rPr>
        <w:t>表3  每批次样品数量要求</w:t>
      </w:r>
    </w:p>
    <w:tbl>
      <w:tblPr>
        <w:tblStyle w:val="21"/>
        <w:tblW w:w="82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2150"/>
        <w:gridCol w:w="2150"/>
        <w:gridCol w:w="21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1809" w:type="dxa"/>
            <w:vAlign w:val="center"/>
          </w:tcPr>
          <w:p>
            <w:pPr>
              <w:spacing w:before="50" w:line="360" w:lineRule="auto"/>
              <w:jc w:val="center"/>
              <w:rPr>
                <w:rFonts w:ascii="黑体" w:hAnsi="宋体" w:eastAsia="黑体"/>
                <w:color w:val="000000" w:themeColor="text1"/>
                <w:sz w:val="24"/>
                <w:szCs w:val="24"/>
              </w:rPr>
            </w:pPr>
            <w:r>
              <w:rPr>
                <w:rFonts w:hint="eastAsia" w:ascii="黑体" w:hAnsi="宋体" w:eastAsia="黑体"/>
                <w:color w:val="000000" w:themeColor="text1"/>
                <w:sz w:val="24"/>
                <w:szCs w:val="24"/>
              </w:rPr>
              <w:t>类别</w:t>
            </w:r>
          </w:p>
        </w:tc>
        <w:tc>
          <w:tcPr>
            <w:tcW w:w="2150" w:type="dxa"/>
            <w:vAlign w:val="center"/>
          </w:tcPr>
          <w:p>
            <w:pPr>
              <w:spacing w:before="50" w:line="360" w:lineRule="auto"/>
              <w:jc w:val="center"/>
              <w:rPr>
                <w:rFonts w:ascii="黑体" w:hAnsi="宋体" w:eastAsia="黑体"/>
                <w:color w:val="000000" w:themeColor="text1"/>
                <w:sz w:val="24"/>
                <w:szCs w:val="24"/>
              </w:rPr>
            </w:pPr>
            <w:r>
              <w:rPr>
                <w:rFonts w:hint="eastAsia" w:ascii="黑体" w:hAnsi="宋体" w:eastAsia="黑体"/>
                <w:color w:val="000000" w:themeColor="text1"/>
                <w:sz w:val="24"/>
                <w:szCs w:val="24"/>
              </w:rPr>
              <w:t>品种</w:t>
            </w:r>
          </w:p>
        </w:tc>
        <w:tc>
          <w:tcPr>
            <w:tcW w:w="2150" w:type="dxa"/>
            <w:vAlign w:val="center"/>
          </w:tcPr>
          <w:p>
            <w:pPr>
              <w:spacing w:before="50" w:line="360" w:lineRule="auto"/>
              <w:jc w:val="center"/>
              <w:rPr>
                <w:rFonts w:ascii="黑体" w:hAnsi="宋体" w:eastAsia="黑体"/>
                <w:color w:val="000000" w:themeColor="text1"/>
                <w:sz w:val="24"/>
                <w:szCs w:val="24"/>
              </w:rPr>
            </w:pPr>
            <w:r>
              <w:rPr>
                <w:rFonts w:hint="eastAsia" w:ascii="黑体" w:hAnsi="宋体" w:eastAsia="黑体"/>
                <w:color w:val="000000" w:themeColor="text1"/>
                <w:sz w:val="24"/>
                <w:szCs w:val="24"/>
              </w:rPr>
              <w:t>检验样品数量</w:t>
            </w:r>
          </w:p>
        </w:tc>
        <w:tc>
          <w:tcPr>
            <w:tcW w:w="2151" w:type="dxa"/>
            <w:vAlign w:val="center"/>
          </w:tcPr>
          <w:p>
            <w:pPr>
              <w:spacing w:before="50" w:line="360" w:lineRule="auto"/>
              <w:jc w:val="center"/>
              <w:rPr>
                <w:rFonts w:ascii="黑体" w:hAnsi="宋体" w:eastAsia="黑体"/>
                <w:color w:val="000000" w:themeColor="text1"/>
                <w:sz w:val="24"/>
                <w:szCs w:val="24"/>
              </w:rPr>
            </w:pPr>
            <w:r>
              <w:rPr>
                <w:rFonts w:hint="eastAsia" w:ascii="黑体" w:hAnsi="宋体" w:eastAsia="黑体"/>
                <w:color w:val="000000" w:themeColor="text1"/>
                <w:sz w:val="24"/>
                <w:szCs w:val="24"/>
              </w:rPr>
              <w:t>备用样品数量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809" w:type="dxa"/>
            <w:vMerge w:val="restart"/>
            <w:vAlign w:val="center"/>
          </w:tcPr>
          <w:p>
            <w:pPr>
              <w:widowControl/>
              <w:snapToGrid w:val="0"/>
              <w:spacing w:line="360" w:lineRule="auto"/>
              <w:jc w:val="center"/>
              <w:textAlignment w:val="center"/>
              <w:rPr>
                <w:rFonts w:ascii="宋体" w:hAnsi="宋体" w:eastAsia="仿宋_GB2312" w:cs="宋体"/>
                <w:bCs/>
                <w:color w:val="000000" w:themeColor="text1"/>
                <w:kern w:val="0"/>
                <w:sz w:val="24"/>
                <w:szCs w:val="24"/>
              </w:rPr>
            </w:pPr>
            <w:r>
              <w:rPr>
                <w:rFonts w:hint="eastAsia" w:ascii="宋体" w:hAnsi="宋体" w:eastAsia="仿宋_GB2312" w:cs="宋体"/>
                <w:bCs/>
                <w:color w:val="000000" w:themeColor="text1"/>
                <w:kern w:val="0"/>
                <w:sz w:val="24"/>
                <w:szCs w:val="24"/>
              </w:rPr>
              <w:t>儿童及婴幼儿服装</w:t>
            </w:r>
          </w:p>
        </w:tc>
        <w:tc>
          <w:tcPr>
            <w:tcW w:w="2150" w:type="dxa"/>
            <w:vAlign w:val="center"/>
          </w:tcPr>
          <w:p>
            <w:pPr>
              <w:spacing w:before="50" w:line="360" w:lineRule="auto"/>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内衣（背心类）、内裤、泳装、泳帽等</w:t>
            </w:r>
          </w:p>
        </w:tc>
        <w:tc>
          <w:tcPr>
            <w:tcW w:w="2150" w:type="dxa"/>
            <w:vAlign w:val="center"/>
          </w:tcPr>
          <w:p>
            <w:pPr>
              <w:spacing w:before="50" w:line="360" w:lineRule="auto"/>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7件（条、套）</w:t>
            </w:r>
          </w:p>
        </w:tc>
        <w:tc>
          <w:tcPr>
            <w:tcW w:w="2151" w:type="dxa"/>
            <w:vAlign w:val="center"/>
          </w:tcPr>
          <w:p>
            <w:pPr>
              <w:spacing w:before="50" w:line="360" w:lineRule="auto"/>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 xml:space="preserve">2件（条、套）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809" w:type="dxa"/>
            <w:vMerge w:val="continue"/>
            <w:vAlign w:val="center"/>
          </w:tcPr>
          <w:p>
            <w:pPr>
              <w:widowControl/>
              <w:snapToGrid w:val="0"/>
              <w:spacing w:line="360" w:lineRule="auto"/>
              <w:jc w:val="center"/>
              <w:textAlignment w:val="center"/>
              <w:rPr>
                <w:rFonts w:ascii="宋体" w:hAnsi="宋体" w:eastAsia="仿宋_GB2312" w:cs="宋体"/>
                <w:bCs/>
                <w:color w:val="000000" w:themeColor="text1"/>
                <w:kern w:val="0"/>
                <w:sz w:val="24"/>
                <w:szCs w:val="24"/>
              </w:rPr>
            </w:pPr>
          </w:p>
        </w:tc>
        <w:tc>
          <w:tcPr>
            <w:tcW w:w="2150" w:type="dxa"/>
            <w:vAlign w:val="center"/>
          </w:tcPr>
          <w:p>
            <w:pPr>
              <w:spacing w:before="50" w:line="360" w:lineRule="auto"/>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其他婴幼儿服装</w:t>
            </w:r>
          </w:p>
        </w:tc>
        <w:tc>
          <w:tcPr>
            <w:tcW w:w="2150" w:type="dxa"/>
            <w:vAlign w:val="center"/>
          </w:tcPr>
          <w:p>
            <w:pPr>
              <w:spacing w:before="50" w:line="360" w:lineRule="auto"/>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4件（套）</w:t>
            </w:r>
          </w:p>
        </w:tc>
        <w:tc>
          <w:tcPr>
            <w:tcW w:w="2151" w:type="dxa"/>
            <w:vAlign w:val="center"/>
          </w:tcPr>
          <w:p>
            <w:pPr>
              <w:spacing w:before="50" w:line="360" w:lineRule="auto"/>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2件（套）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809" w:type="dxa"/>
            <w:vMerge w:val="continue"/>
            <w:vAlign w:val="center"/>
          </w:tcPr>
          <w:p>
            <w:pPr>
              <w:widowControl/>
              <w:snapToGrid w:val="0"/>
              <w:spacing w:line="360" w:lineRule="auto"/>
              <w:ind w:firstLine="460" w:firstLineChars="192"/>
              <w:jc w:val="center"/>
              <w:textAlignment w:val="center"/>
              <w:rPr>
                <w:rFonts w:ascii="宋体" w:hAnsi="宋体" w:eastAsia="仿宋_GB2312" w:cs="宋体"/>
                <w:bCs/>
                <w:color w:val="000000" w:themeColor="text1"/>
                <w:kern w:val="0"/>
                <w:sz w:val="24"/>
                <w:szCs w:val="24"/>
              </w:rPr>
            </w:pPr>
          </w:p>
        </w:tc>
        <w:tc>
          <w:tcPr>
            <w:tcW w:w="2150" w:type="dxa"/>
            <w:vAlign w:val="center"/>
          </w:tcPr>
          <w:p>
            <w:pPr>
              <w:spacing w:before="50" w:line="360" w:lineRule="auto"/>
              <w:jc w:val="center"/>
              <w:rPr>
                <w:rFonts w:ascii="仿宋_GB2312" w:hAnsi="宋体" w:eastAsia="仿宋_GB2312"/>
                <w:sz w:val="24"/>
                <w:szCs w:val="24"/>
              </w:rPr>
            </w:pPr>
            <w:r>
              <w:rPr>
                <w:rFonts w:hint="eastAsia" w:ascii="仿宋_GB2312" w:hAnsi="宋体" w:eastAsia="仿宋_GB2312"/>
                <w:sz w:val="24"/>
                <w:szCs w:val="24"/>
              </w:rPr>
              <w:t>其他儿童服装</w:t>
            </w:r>
          </w:p>
        </w:tc>
        <w:tc>
          <w:tcPr>
            <w:tcW w:w="2150" w:type="dxa"/>
            <w:vAlign w:val="center"/>
          </w:tcPr>
          <w:p>
            <w:pPr>
              <w:spacing w:before="50" w:line="360" w:lineRule="auto"/>
              <w:jc w:val="center"/>
              <w:rPr>
                <w:rFonts w:ascii="仿宋_GB2312" w:hAnsi="宋体" w:eastAsia="仿宋_GB2312"/>
                <w:sz w:val="24"/>
                <w:szCs w:val="24"/>
              </w:rPr>
            </w:pPr>
            <w:r>
              <w:rPr>
                <w:rFonts w:hint="eastAsia" w:ascii="仿宋_GB2312" w:hAnsi="宋体" w:eastAsia="仿宋_GB2312"/>
                <w:sz w:val="24"/>
                <w:szCs w:val="24"/>
              </w:rPr>
              <w:t>3件（套）</w:t>
            </w:r>
          </w:p>
        </w:tc>
        <w:tc>
          <w:tcPr>
            <w:tcW w:w="2151" w:type="dxa"/>
            <w:vAlign w:val="center"/>
          </w:tcPr>
          <w:p>
            <w:pPr>
              <w:spacing w:before="50" w:line="360" w:lineRule="auto"/>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2件（套）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809" w:type="dxa"/>
            <w:vMerge w:val="restart"/>
            <w:vAlign w:val="center"/>
          </w:tcPr>
          <w:p>
            <w:pPr>
              <w:widowControl/>
              <w:snapToGrid w:val="0"/>
              <w:spacing w:line="360" w:lineRule="auto"/>
              <w:jc w:val="center"/>
              <w:textAlignment w:val="center"/>
              <w:rPr>
                <w:rFonts w:ascii="宋体" w:hAnsi="宋体" w:eastAsia="仿宋_GB2312" w:cs="宋体"/>
                <w:bCs/>
                <w:color w:val="000000" w:themeColor="text1"/>
                <w:kern w:val="0"/>
                <w:sz w:val="24"/>
                <w:szCs w:val="24"/>
              </w:rPr>
            </w:pPr>
            <w:r>
              <w:rPr>
                <w:rFonts w:hint="eastAsia" w:ascii="宋体" w:hAnsi="宋体" w:eastAsia="仿宋_GB2312" w:cs="宋体"/>
                <w:bCs/>
                <w:color w:val="000000" w:themeColor="text1"/>
                <w:kern w:val="0"/>
                <w:sz w:val="24"/>
                <w:szCs w:val="24"/>
              </w:rPr>
              <w:t>成人服装</w:t>
            </w:r>
          </w:p>
        </w:tc>
        <w:tc>
          <w:tcPr>
            <w:tcW w:w="2150" w:type="dxa"/>
            <w:vAlign w:val="center"/>
          </w:tcPr>
          <w:p>
            <w:pPr>
              <w:spacing w:before="50" w:line="360" w:lineRule="auto"/>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内衣（包括文胸、塑身内衣、腹带）</w:t>
            </w:r>
          </w:p>
        </w:tc>
        <w:tc>
          <w:tcPr>
            <w:tcW w:w="2150" w:type="dxa"/>
            <w:vAlign w:val="center"/>
          </w:tcPr>
          <w:p>
            <w:pPr>
              <w:spacing w:before="50" w:line="360" w:lineRule="auto"/>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6件（套）</w:t>
            </w:r>
          </w:p>
        </w:tc>
        <w:tc>
          <w:tcPr>
            <w:tcW w:w="2151" w:type="dxa"/>
            <w:vAlign w:val="center"/>
          </w:tcPr>
          <w:p>
            <w:pPr>
              <w:spacing w:before="50" w:line="360" w:lineRule="auto"/>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3件（套）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809" w:type="dxa"/>
            <w:vMerge w:val="continue"/>
            <w:vAlign w:val="center"/>
          </w:tcPr>
          <w:p>
            <w:pPr>
              <w:widowControl/>
              <w:snapToGrid w:val="0"/>
              <w:spacing w:line="360" w:lineRule="auto"/>
              <w:ind w:firstLine="460" w:firstLineChars="192"/>
              <w:jc w:val="center"/>
              <w:textAlignment w:val="center"/>
              <w:rPr>
                <w:rFonts w:ascii="宋体" w:hAnsi="宋体" w:eastAsia="仿宋_GB2312" w:cs="宋体"/>
                <w:bCs/>
                <w:color w:val="000000" w:themeColor="text1"/>
                <w:kern w:val="0"/>
                <w:sz w:val="24"/>
                <w:szCs w:val="24"/>
              </w:rPr>
            </w:pPr>
          </w:p>
        </w:tc>
        <w:tc>
          <w:tcPr>
            <w:tcW w:w="2150" w:type="dxa"/>
            <w:vAlign w:val="center"/>
          </w:tcPr>
          <w:p>
            <w:pPr>
              <w:spacing w:before="50" w:line="360" w:lineRule="auto"/>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内裤</w:t>
            </w:r>
          </w:p>
        </w:tc>
        <w:tc>
          <w:tcPr>
            <w:tcW w:w="2150" w:type="dxa"/>
            <w:vAlign w:val="center"/>
          </w:tcPr>
          <w:p>
            <w:pPr>
              <w:spacing w:before="50" w:line="360" w:lineRule="auto"/>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7条</w:t>
            </w:r>
          </w:p>
        </w:tc>
        <w:tc>
          <w:tcPr>
            <w:tcW w:w="2151" w:type="dxa"/>
            <w:vAlign w:val="center"/>
          </w:tcPr>
          <w:p>
            <w:pPr>
              <w:spacing w:before="50" w:line="360" w:lineRule="auto"/>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809" w:type="dxa"/>
            <w:vMerge w:val="continue"/>
            <w:vAlign w:val="center"/>
          </w:tcPr>
          <w:p>
            <w:pPr>
              <w:widowControl/>
              <w:snapToGrid w:val="0"/>
              <w:spacing w:line="360" w:lineRule="auto"/>
              <w:ind w:firstLine="460" w:firstLineChars="192"/>
              <w:jc w:val="center"/>
              <w:textAlignment w:val="center"/>
              <w:rPr>
                <w:rFonts w:ascii="宋体" w:hAnsi="宋体" w:eastAsia="仿宋_GB2312" w:cs="宋体"/>
                <w:bCs/>
                <w:color w:val="000000" w:themeColor="text1"/>
                <w:kern w:val="0"/>
                <w:sz w:val="24"/>
                <w:szCs w:val="24"/>
              </w:rPr>
            </w:pPr>
          </w:p>
        </w:tc>
        <w:tc>
          <w:tcPr>
            <w:tcW w:w="2150" w:type="dxa"/>
            <w:vAlign w:val="center"/>
          </w:tcPr>
          <w:p>
            <w:pPr>
              <w:spacing w:before="50" w:line="360" w:lineRule="auto"/>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泳装（连体式）</w:t>
            </w:r>
          </w:p>
        </w:tc>
        <w:tc>
          <w:tcPr>
            <w:tcW w:w="2150" w:type="dxa"/>
            <w:vAlign w:val="center"/>
          </w:tcPr>
          <w:p>
            <w:pPr>
              <w:spacing w:before="50" w:line="360" w:lineRule="auto"/>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3件（套）</w:t>
            </w:r>
          </w:p>
        </w:tc>
        <w:tc>
          <w:tcPr>
            <w:tcW w:w="2151" w:type="dxa"/>
            <w:vAlign w:val="center"/>
          </w:tcPr>
          <w:p>
            <w:pPr>
              <w:spacing w:before="50" w:line="360" w:lineRule="auto"/>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2件（套）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809" w:type="dxa"/>
            <w:vMerge w:val="continue"/>
            <w:vAlign w:val="center"/>
          </w:tcPr>
          <w:p>
            <w:pPr>
              <w:widowControl/>
              <w:snapToGrid w:val="0"/>
              <w:spacing w:line="360" w:lineRule="auto"/>
              <w:ind w:firstLine="460" w:firstLineChars="192"/>
              <w:jc w:val="center"/>
              <w:textAlignment w:val="center"/>
              <w:rPr>
                <w:rFonts w:ascii="宋体" w:hAnsi="宋体" w:eastAsia="仿宋_GB2312" w:cs="宋体"/>
                <w:bCs/>
                <w:color w:val="000000" w:themeColor="text1"/>
                <w:kern w:val="0"/>
                <w:sz w:val="24"/>
                <w:szCs w:val="24"/>
              </w:rPr>
            </w:pPr>
          </w:p>
        </w:tc>
        <w:tc>
          <w:tcPr>
            <w:tcW w:w="2150" w:type="dxa"/>
            <w:vAlign w:val="center"/>
          </w:tcPr>
          <w:p>
            <w:pPr>
              <w:spacing w:before="50" w:line="360" w:lineRule="auto"/>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分体式泳衣、泳裤</w:t>
            </w:r>
          </w:p>
        </w:tc>
        <w:tc>
          <w:tcPr>
            <w:tcW w:w="2150" w:type="dxa"/>
            <w:vAlign w:val="center"/>
          </w:tcPr>
          <w:p>
            <w:pPr>
              <w:spacing w:before="50" w:line="360" w:lineRule="auto"/>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6件（条、套）</w:t>
            </w:r>
          </w:p>
        </w:tc>
        <w:tc>
          <w:tcPr>
            <w:tcW w:w="2151" w:type="dxa"/>
            <w:vAlign w:val="center"/>
          </w:tcPr>
          <w:p>
            <w:pPr>
              <w:spacing w:before="50" w:line="360" w:lineRule="auto"/>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2件（条、套）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809" w:type="dxa"/>
            <w:vMerge w:val="continue"/>
            <w:vAlign w:val="center"/>
          </w:tcPr>
          <w:p>
            <w:pPr>
              <w:widowControl/>
              <w:snapToGrid w:val="0"/>
              <w:spacing w:line="360" w:lineRule="auto"/>
              <w:ind w:firstLine="460" w:firstLineChars="192"/>
              <w:jc w:val="center"/>
              <w:textAlignment w:val="center"/>
              <w:rPr>
                <w:rFonts w:ascii="宋体" w:hAnsi="宋体" w:eastAsia="仿宋_GB2312" w:cs="宋体"/>
                <w:bCs/>
                <w:color w:val="000000" w:themeColor="text1"/>
                <w:kern w:val="0"/>
                <w:sz w:val="24"/>
                <w:szCs w:val="24"/>
              </w:rPr>
            </w:pPr>
          </w:p>
        </w:tc>
        <w:tc>
          <w:tcPr>
            <w:tcW w:w="2150" w:type="dxa"/>
            <w:vAlign w:val="center"/>
          </w:tcPr>
          <w:p>
            <w:pPr>
              <w:spacing w:before="50" w:line="360" w:lineRule="auto"/>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泳帽</w:t>
            </w:r>
          </w:p>
        </w:tc>
        <w:tc>
          <w:tcPr>
            <w:tcW w:w="2150" w:type="dxa"/>
            <w:vAlign w:val="center"/>
          </w:tcPr>
          <w:p>
            <w:pPr>
              <w:spacing w:before="50" w:line="360" w:lineRule="auto"/>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5件（套）</w:t>
            </w:r>
          </w:p>
        </w:tc>
        <w:tc>
          <w:tcPr>
            <w:tcW w:w="2151" w:type="dxa"/>
            <w:vAlign w:val="center"/>
          </w:tcPr>
          <w:p>
            <w:pPr>
              <w:spacing w:before="50" w:line="360" w:lineRule="auto"/>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2件（套）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809" w:type="dxa"/>
            <w:vMerge w:val="continue"/>
            <w:vAlign w:val="center"/>
          </w:tcPr>
          <w:p>
            <w:pPr>
              <w:widowControl/>
              <w:snapToGrid w:val="0"/>
              <w:spacing w:line="360" w:lineRule="auto"/>
              <w:ind w:firstLine="460" w:firstLineChars="192"/>
              <w:jc w:val="center"/>
              <w:textAlignment w:val="center"/>
              <w:rPr>
                <w:rFonts w:ascii="宋体" w:hAnsi="宋体" w:eastAsia="仿宋_GB2312" w:cs="宋体"/>
                <w:bCs/>
                <w:color w:val="000000" w:themeColor="text1"/>
                <w:kern w:val="0"/>
                <w:sz w:val="24"/>
                <w:szCs w:val="24"/>
              </w:rPr>
            </w:pPr>
          </w:p>
        </w:tc>
        <w:tc>
          <w:tcPr>
            <w:tcW w:w="2150" w:type="dxa"/>
            <w:vAlign w:val="center"/>
          </w:tcPr>
          <w:p>
            <w:pPr>
              <w:spacing w:before="50" w:line="360" w:lineRule="auto"/>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其他</w:t>
            </w:r>
          </w:p>
        </w:tc>
        <w:tc>
          <w:tcPr>
            <w:tcW w:w="2150" w:type="dxa"/>
            <w:vAlign w:val="center"/>
          </w:tcPr>
          <w:p>
            <w:pPr>
              <w:spacing w:before="50" w:line="360" w:lineRule="auto"/>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2件（套）</w:t>
            </w:r>
          </w:p>
        </w:tc>
        <w:tc>
          <w:tcPr>
            <w:tcW w:w="2151" w:type="dxa"/>
            <w:vAlign w:val="center"/>
          </w:tcPr>
          <w:p>
            <w:pPr>
              <w:spacing w:before="50" w:line="360" w:lineRule="auto"/>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1件(套)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260" w:type="dxa"/>
            <w:gridSpan w:val="4"/>
            <w:vAlign w:val="center"/>
          </w:tcPr>
          <w:p>
            <w:pPr>
              <w:spacing w:before="50" w:line="360" w:lineRule="auto"/>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备注：如需检测水洗后相关实验，检验样品及备用样品数量增加3件（套）</w:t>
            </w:r>
          </w:p>
        </w:tc>
      </w:tr>
    </w:tbl>
    <w:p>
      <w:pPr>
        <w:snapToGrid w:val="0"/>
        <w:spacing w:line="360" w:lineRule="auto"/>
        <w:rPr>
          <w:rFonts w:ascii="仿宋_GB2312" w:hAnsi="宋体" w:eastAsia="仿宋_GB2312"/>
          <w:b/>
          <w:color w:val="000000" w:themeColor="text1"/>
          <w:sz w:val="28"/>
          <w:szCs w:val="28"/>
        </w:rPr>
      </w:pPr>
    </w:p>
    <w:p>
      <w:pPr>
        <w:snapToGrid w:val="0"/>
        <w:spacing w:line="360" w:lineRule="auto"/>
        <w:rPr>
          <w:rFonts w:ascii="仿宋_GB2312" w:hAnsi="宋体" w:eastAsia="仿宋_GB2312"/>
          <w:b/>
          <w:color w:val="000000" w:themeColor="text1"/>
          <w:sz w:val="28"/>
          <w:szCs w:val="28"/>
        </w:rPr>
      </w:pPr>
      <w:r>
        <w:rPr>
          <w:rFonts w:hint="eastAsia" w:ascii="仿宋_GB2312" w:hAnsi="宋体" w:eastAsia="仿宋_GB2312"/>
          <w:b/>
          <w:color w:val="000000" w:themeColor="text1"/>
          <w:sz w:val="28"/>
          <w:szCs w:val="28"/>
        </w:rPr>
        <w:t>5.5 样品处置</w:t>
      </w:r>
    </w:p>
    <w:p>
      <w:pPr>
        <w:snapToGrid w:val="0"/>
        <w:spacing w:line="360" w:lineRule="auto"/>
        <w:rPr>
          <w:rFonts w:ascii="仿宋_GB2312" w:hAnsi="宋体" w:eastAsia="仿宋_GB2312"/>
          <w:b/>
          <w:color w:val="000000" w:themeColor="text1"/>
          <w:sz w:val="28"/>
          <w:szCs w:val="28"/>
        </w:rPr>
      </w:pPr>
      <w:r>
        <w:rPr>
          <w:rFonts w:hint="eastAsia" w:ascii="仿宋_GB2312" w:hAnsi="ˎ̥" w:eastAsia="仿宋_GB2312"/>
          <w:b/>
          <w:color w:val="000000" w:themeColor="text1"/>
          <w:sz w:val="28"/>
          <w:szCs w:val="28"/>
        </w:rPr>
        <w:t xml:space="preserve">5.5.1 </w:t>
      </w:r>
      <w:r>
        <w:rPr>
          <w:rFonts w:hint="eastAsia" w:ascii="仿宋_GB2312" w:hAnsi="宋体" w:eastAsia="仿宋_GB2312"/>
          <w:color w:val="000000" w:themeColor="text1"/>
          <w:sz w:val="28"/>
          <w:szCs w:val="28"/>
        </w:rPr>
        <w:t>被抽查样品应贴封条和防拆封措施，以保证其完整性、真实性，包括附在样品上的使用说明及其他信息。如样品标签上标明特殊储存或搬运要求，样品应按要求进行处置，检验样品和备用样品应分别封样。</w:t>
      </w:r>
    </w:p>
    <w:p>
      <w:pPr>
        <w:spacing w:line="360" w:lineRule="auto"/>
        <w:rPr>
          <w:rFonts w:ascii="仿宋_GB2312" w:hAnsi="宋体" w:eastAsia="仿宋_GB2312"/>
          <w:color w:val="000000" w:themeColor="text1"/>
          <w:sz w:val="28"/>
          <w:szCs w:val="28"/>
        </w:rPr>
      </w:pPr>
      <w:r>
        <w:rPr>
          <w:rFonts w:hint="eastAsia" w:ascii="仿宋_GB2312" w:hAnsi="宋体" w:eastAsia="仿宋_GB2312"/>
          <w:b/>
          <w:color w:val="000000" w:themeColor="text1"/>
          <w:sz w:val="28"/>
          <w:szCs w:val="28"/>
        </w:rPr>
        <w:t xml:space="preserve">5.5.2 </w:t>
      </w:r>
      <w:r>
        <w:rPr>
          <w:rFonts w:hint="eastAsia" w:ascii="仿宋_GB2312" w:eastAsia="仿宋_GB2312"/>
          <w:color w:val="000000" w:themeColor="text1"/>
          <w:sz w:val="28"/>
          <w:szCs w:val="28"/>
        </w:rPr>
        <w:t>样品由抽样人负责送至指定的检验机构相关部门，接收人负责检查、记录样品的外观、状态、封样单有无破损及其他可能对检测结果或者综合判定产生影响的情况，并确认样品与抽样单的记录是否相符。如有必要，也可由抽样人员要求受检单位在规定时间内送到指定的检验机构相关部门。</w:t>
      </w:r>
    </w:p>
    <w:p>
      <w:pPr>
        <w:autoSpaceDE w:val="0"/>
        <w:autoSpaceDN w:val="0"/>
        <w:adjustRightInd w:val="0"/>
        <w:spacing w:line="360" w:lineRule="auto"/>
        <w:rPr>
          <w:rFonts w:ascii="仿宋_GB2312" w:hAnsi="宋体" w:eastAsia="仿宋_GB2312"/>
          <w:b/>
          <w:color w:val="000000" w:themeColor="text1"/>
          <w:sz w:val="28"/>
          <w:szCs w:val="28"/>
        </w:rPr>
      </w:pPr>
      <w:r>
        <w:rPr>
          <w:rFonts w:hint="eastAsia" w:ascii="仿宋_GB2312" w:hAnsi="宋体" w:eastAsia="仿宋_GB2312"/>
          <w:b/>
          <w:color w:val="000000" w:themeColor="text1"/>
          <w:sz w:val="28"/>
          <w:szCs w:val="28"/>
        </w:rPr>
        <w:t>5.6 抽样单</w:t>
      </w:r>
    </w:p>
    <w:p>
      <w:pPr>
        <w:snapToGrid w:val="0"/>
        <w:spacing w:line="360" w:lineRule="auto"/>
        <w:ind w:firstLine="537" w:firstLineChars="192"/>
        <w:rPr>
          <w:rFonts w:ascii="仿宋_GB2312" w:eastAsia="仿宋_GB2312" w:cs="Sim Sun"/>
          <w:color w:val="000000" w:themeColor="text1"/>
          <w:kern w:val="0"/>
          <w:sz w:val="28"/>
          <w:szCs w:val="28"/>
        </w:rPr>
      </w:pPr>
      <w:r>
        <w:rPr>
          <w:rFonts w:hint="eastAsia" w:ascii="仿宋_GB2312" w:hAnsi="宋体" w:eastAsia="仿宋_GB2312"/>
          <w:color w:val="000000" w:themeColor="text1"/>
          <w:sz w:val="28"/>
          <w:szCs w:val="28"/>
        </w:rPr>
        <w:t>应按有关规定填写抽样单，并记录被抽查产品及企业相关信息。同时记录被抽查企业上一年度生产的该类产品销售总额，以万元计。</w:t>
      </w:r>
      <w:r>
        <w:rPr>
          <w:rFonts w:hint="eastAsia" w:ascii="仿宋_GB2312" w:eastAsia="仿宋_GB2312" w:cs="Sim Sun"/>
          <w:color w:val="000000" w:themeColor="text1"/>
          <w:kern w:val="0"/>
          <w:sz w:val="28"/>
          <w:szCs w:val="28"/>
        </w:rPr>
        <w:t>若被抽查企业上一年度没有生产该类产品，那么以本年度已实际生产的该类产品销售额来统计。</w:t>
      </w:r>
    </w:p>
    <w:p>
      <w:pPr>
        <w:snapToGrid w:val="0"/>
        <w:spacing w:line="360" w:lineRule="auto"/>
        <w:rPr>
          <w:rFonts w:ascii="仿宋_GB2312" w:hAnsi="宋体" w:eastAsia="仿宋_GB2312"/>
          <w:b/>
          <w:color w:val="000000" w:themeColor="text1"/>
          <w:sz w:val="28"/>
          <w:szCs w:val="28"/>
        </w:rPr>
      </w:pPr>
      <w:r>
        <w:rPr>
          <w:rFonts w:hint="eastAsia" w:ascii="仿宋_GB2312" w:hAnsi="宋体" w:eastAsia="仿宋_GB2312"/>
          <w:b/>
          <w:color w:val="000000" w:themeColor="text1"/>
          <w:sz w:val="28"/>
          <w:szCs w:val="28"/>
        </w:rPr>
        <w:t>6 检验要求</w:t>
      </w:r>
    </w:p>
    <w:p>
      <w:pPr>
        <w:snapToGrid w:val="0"/>
        <w:spacing w:line="360" w:lineRule="auto"/>
        <w:rPr>
          <w:rFonts w:ascii="仿宋_GB2312" w:hAnsi="宋体" w:eastAsia="仿宋_GB2312"/>
          <w:b/>
          <w:color w:val="000000" w:themeColor="text1"/>
          <w:sz w:val="28"/>
          <w:szCs w:val="28"/>
        </w:rPr>
      </w:pPr>
      <w:r>
        <w:rPr>
          <w:rFonts w:hint="eastAsia" w:ascii="仿宋_GB2312" w:hAnsi="宋体" w:eastAsia="仿宋_GB2312"/>
          <w:b/>
          <w:color w:val="000000" w:themeColor="text1"/>
          <w:sz w:val="28"/>
          <w:szCs w:val="28"/>
        </w:rPr>
        <w:t>6.1 检验项目</w:t>
      </w:r>
    </w:p>
    <w:p>
      <w:pPr>
        <w:snapToGrid w:val="0"/>
        <w:spacing w:line="360" w:lineRule="auto"/>
        <w:rPr>
          <w:rFonts w:ascii="仿宋_GB2312" w:hAnsi="宋体" w:eastAsia="仿宋_GB2312"/>
          <w:b/>
          <w:color w:val="000000" w:themeColor="text1"/>
          <w:sz w:val="28"/>
          <w:szCs w:val="28"/>
        </w:rPr>
      </w:pPr>
      <w:r>
        <w:rPr>
          <w:rFonts w:hint="eastAsia" w:ascii="仿宋_GB2312" w:hAnsi="宋体" w:eastAsia="仿宋_GB2312"/>
          <w:b/>
          <w:color w:val="000000" w:themeColor="text1"/>
          <w:sz w:val="28"/>
          <w:szCs w:val="28"/>
        </w:rPr>
        <w:t>（一）儿童及婴幼儿服装</w:t>
      </w:r>
    </w:p>
    <w:p>
      <w:pPr>
        <w:snapToGrid w:val="0"/>
        <w:spacing w:line="360" w:lineRule="auto"/>
        <w:jc w:val="center"/>
        <w:rPr>
          <w:rFonts w:ascii="黑体" w:hAnsi="宋体" w:eastAsia="黑体"/>
          <w:color w:val="000000" w:themeColor="text1"/>
          <w:sz w:val="28"/>
          <w:szCs w:val="28"/>
        </w:rPr>
      </w:pPr>
      <w:r>
        <w:rPr>
          <w:rFonts w:hint="eastAsia" w:ascii="黑体" w:hAnsi="宋体" w:eastAsia="黑体"/>
          <w:color w:val="000000" w:themeColor="text1"/>
          <w:sz w:val="28"/>
          <w:szCs w:val="28"/>
        </w:rPr>
        <w:t>表4  儿童及婴幼儿服装检验项目、依据及方法等要求</w:t>
      </w:r>
    </w:p>
    <w:tbl>
      <w:tblPr>
        <w:tblStyle w:val="21"/>
        <w:tblW w:w="929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6"/>
        <w:gridCol w:w="2832"/>
        <w:gridCol w:w="1923"/>
        <w:gridCol w:w="1130"/>
        <w:gridCol w:w="1766"/>
        <w:gridCol w:w="11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456" w:type="dxa"/>
            <w:vAlign w:val="center"/>
          </w:tcPr>
          <w:p>
            <w:pPr>
              <w:pStyle w:val="7"/>
              <w:snapToGrid w:val="0"/>
              <w:spacing w:beforeLines="25" w:afterLines="25"/>
              <w:jc w:val="center"/>
              <w:rPr>
                <w:rFonts w:ascii="黑体" w:hAnsi="宋体" w:eastAsia="黑体"/>
                <w:color w:val="000000" w:themeColor="text1"/>
                <w:sz w:val="24"/>
                <w:szCs w:val="24"/>
              </w:rPr>
            </w:pPr>
            <w:r>
              <w:rPr>
                <w:rFonts w:hint="eastAsia" w:ascii="黑体" w:hAnsi="宋体" w:eastAsia="黑体"/>
                <w:color w:val="000000" w:themeColor="text1"/>
                <w:sz w:val="24"/>
                <w:szCs w:val="24"/>
              </w:rPr>
              <w:t>序号</w:t>
            </w:r>
          </w:p>
        </w:tc>
        <w:tc>
          <w:tcPr>
            <w:tcW w:w="2832" w:type="dxa"/>
            <w:vAlign w:val="center"/>
          </w:tcPr>
          <w:p>
            <w:pPr>
              <w:pStyle w:val="7"/>
              <w:snapToGrid w:val="0"/>
              <w:spacing w:beforeLines="25" w:afterLines="25"/>
              <w:jc w:val="center"/>
              <w:rPr>
                <w:rFonts w:ascii="黑体" w:hAnsi="宋体" w:eastAsia="黑体"/>
                <w:color w:val="000000" w:themeColor="text1"/>
                <w:sz w:val="24"/>
                <w:szCs w:val="24"/>
              </w:rPr>
            </w:pPr>
            <w:r>
              <w:rPr>
                <w:rFonts w:hint="eastAsia" w:ascii="黑体" w:hAnsi="宋体" w:eastAsia="黑体"/>
                <w:color w:val="000000" w:themeColor="text1"/>
                <w:sz w:val="24"/>
                <w:szCs w:val="24"/>
              </w:rPr>
              <w:t>检验项目</w:t>
            </w:r>
          </w:p>
        </w:tc>
        <w:tc>
          <w:tcPr>
            <w:tcW w:w="1923" w:type="dxa"/>
            <w:vAlign w:val="center"/>
          </w:tcPr>
          <w:p>
            <w:pPr>
              <w:snapToGrid w:val="0"/>
              <w:spacing w:beforeLines="25" w:afterLines="25"/>
              <w:jc w:val="center"/>
              <w:rPr>
                <w:rFonts w:ascii="黑体" w:hAnsi="宋体" w:eastAsia="黑体"/>
                <w:color w:val="000000" w:themeColor="text1"/>
                <w:sz w:val="24"/>
                <w:szCs w:val="24"/>
              </w:rPr>
            </w:pPr>
            <w:r>
              <w:rPr>
                <w:rFonts w:hint="eastAsia" w:ascii="黑体" w:hAnsi="宋体" w:eastAsia="黑体"/>
                <w:color w:val="000000" w:themeColor="text1"/>
                <w:sz w:val="24"/>
                <w:szCs w:val="24"/>
              </w:rPr>
              <w:t>依据法律法规</w:t>
            </w:r>
          </w:p>
          <w:p>
            <w:pPr>
              <w:pStyle w:val="7"/>
              <w:snapToGrid w:val="0"/>
              <w:spacing w:beforeLines="25" w:afterLines="25"/>
              <w:jc w:val="center"/>
              <w:rPr>
                <w:rFonts w:ascii="黑体" w:hAnsi="宋体" w:eastAsia="黑体"/>
                <w:color w:val="000000" w:themeColor="text1"/>
                <w:sz w:val="24"/>
                <w:szCs w:val="24"/>
              </w:rPr>
            </w:pPr>
            <w:r>
              <w:rPr>
                <w:rFonts w:hint="eastAsia" w:ascii="黑体" w:hAnsi="宋体" w:eastAsia="黑体"/>
                <w:color w:val="000000" w:themeColor="text1"/>
                <w:sz w:val="24"/>
                <w:szCs w:val="24"/>
              </w:rPr>
              <w:t>或标准条款</w:t>
            </w:r>
          </w:p>
        </w:tc>
        <w:tc>
          <w:tcPr>
            <w:tcW w:w="1130" w:type="dxa"/>
            <w:vAlign w:val="center"/>
          </w:tcPr>
          <w:p>
            <w:pPr>
              <w:pStyle w:val="7"/>
              <w:snapToGrid w:val="0"/>
              <w:spacing w:beforeLines="25" w:afterLines="25"/>
              <w:jc w:val="center"/>
              <w:rPr>
                <w:rFonts w:ascii="黑体" w:hAnsi="宋体" w:eastAsia="黑体"/>
                <w:color w:val="000000" w:themeColor="text1"/>
                <w:sz w:val="24"/>
                <w:szCs w:val="24"/>
              </w:rPr>
            </w:pPr>
            <w:r>
              <w:rPr>
                <w:rFonts w:hint="eastAsia" w:ascii="黑体" w:hAnsi="宋体" w:eastAsia="黑体"/>
                <w:color w:val="000000" w:themeColor="text1"/>
                <w:sz w:val="24"/>
                <w:szCs w:val="24"/>
              </w:rPr>
              <w:t>强制/推荐性</w:t>
            </w:r>
          </w:p>
        </w:tc>
        <w:tc>
          <w:tcPr>
            <w:tcW w:w="1766" w:type="dxa"/>
            <w:vAlign w:val="center"/>
          </w:tcPr>
          <w:p>
            <w:pPr>
              <w:pStyle w:val="7"/>
              <w:snapToGrid w:val="0"/>
              <w:spacing w:beforeLines="25" w:afterLines="25"/>
              <w:jc w:val="center"/>
              <w:rPr>
                <w:rFonts w:ascii="黑体" w:hAnsi="宋体" w:eastAsia="黑体"/>
                <w:color w:val="000000" w:themeColor="text1"/>
                <w:sz w:val="24"/>
                <w:szCs w:val="24"/>
              </w:rPr>
            </w:pPr>
            <w:r>
              <w:rPr>
                <w:rFonts w:hint="eastAsia" w:ascii="黑体" w:hAnsi="宋体" w:eastAsia="黑体"/>
                <w:color w:val="000000" w:themeColor="text1"/>
                <w:sz w:val="24"/>
                <w:szCs w:val="24"/>
              </w:rPr>
              <w:t>检测方法</w:t>
            </w:r>
          </w:p>
        </w:tc>
        <w:tc>
          <w:tcPr>
            <w:tcW w:w="1188" w:type="dxa"/>
            <w:vAlign w:val="center"/>
          </w:tcPr>
          <w:p>
            <w:pPr>
              <w:pStyle w:val="7"/>
              <w:snapToGrid w:val="0"/>
              <w:spacing w:beforeLines="25" w:afterLines="25"/>
              <w:jc w:val="center"/>
              <w:rPr>
                <w:rFonts w:ascii="黑体" w:hAnsi="宋体" w:eastAsia="黑体"/>
                <w:color w:val="000000" w:themeColor="text1"/>
                <w:sz w:val="24"/>
                <w:szCs w:val="24"/>
              </w:rPr>
            </w:pPr>
            <w:r>
              <w:rPr>
                <w:rFonts w:hint="eastAsia" w:ascii="黑体" w:hAnsi="宋体" w:eastAsia="黑体"/>
                <w:color w:val="000000" w:themeColor="text1"/>
                <w:sz w:val="24"/>
                <w:szCs w:val="24"/>
              </w:rPr>
              <w:t>复检样品[注1]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56" w:type="dxa"/>
            <w:vMerge w:val="restart"/>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1</w:t>
            </w:r>
          </w:p>
        </w:tc>
        <w:tc>
          <w:tcPr>
            <w:tcW w:w="2832" w:type="dxa"/>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甲醛含量</w:t>
            </w:r>
          </w:p>
        </w:tc>
        <w:tc>
          <w:tcPr>
            <w:tcW w:w="1923" w:type="dxa"/>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s="宋体"/>
                <w:bCs/>
                <w:color w:val="000000" w:themeColor="text1"/>
                <w:sz w:val="24"/>
                <w:szCs w:val="24"/>
              </w:rPr>
              <w:t>GB 18401 5.1</w:t>
            </w:r>
          </w:p>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 xml:space="preserve">GB 31701 4.2 </w:t>
            </w:r>
          </w:p>
        </w:tc>
        <w:tc>
          <w:tcPr>
            <w:tcW w:w="1130" w:type="dxa"/>
            <w:vMerge w:val="restart"/>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强制性</w:t>
            </w:r>
          </w:p>
        </w:tc>
        <w:tc>
          <w:tcPr>
            <w:tcW w:w="1766" w:type="dxa"/>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GB/T 2912.1</w:t>
            </w:r>
          </w:p>
        </w:tc>
        <w:tc>
          <w:tcPr>
            <w:tcW w:w="1188" w:type="dxa"/>
            <w:vMerge w:val="restart"/>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56" w:type="dxa"/>
            <w:vMerge w:val="continue"/>
            <w:vAlign w:val="center"/>
          </w:tcPr>
          <w:p>
            <w:pPr>
              <w:pStyle w:val="7"/>
              <w:snapToGrid w:val="0"/>
              <w:spacing w:beforeLines="25" w:afterLines="25"/>
              <w:jc w:val="center"/>
              <w:rPr>
                <w:rFonts w:ascii="仿宋_GB2312" w:hAnsi="宋体" w:eastAsia="仿宋_GB2312"/>
                <w:color w:val="000000" w:themeColor="text1"/>
                <w:sz w:val="24"/>
                <w:szCs w:val="24"/>
              </w:rPr>
            </w:pPr>
          </w:p>
        </w:tc>
        <w:tc>
          <w:tcPr>
            <w:tcW w:w="2832" w:type="dxa"/>
            <w:vAlign w:val="center"/>
          </w:tcPr>
          <w:p>
            <w:pPr>
              <w:pStyle w:val="7"/>
              <w:snapToGrid w:val="0"/>
              <w:spacing w:beforeLines="25" w:afterLines="25"/>
              <w:jc w:val="center"/>
              <w:rPr>
                <w:rFonts w:ascii="仿宋_GB2312" w:hAnsi="宋体" w:eastAsia="仿宋_GB2312"/>
                <w:sz w:val="24"/>
                <w:szCs w:val="24"/>
              </w:rPr>
            </w:pPr>
            <w:r>
              <w:rPr>
                <w:rFonts w:hint="eastAsia" w:ascii="仿宋_GB2312" w:hAnsi="宋体" w:eastAsia="仿宋_GB2312"/>
                <w:sz w:val="24"/>
                <w:szCs w:val="24"/>
              </w:rPr>
              <w:t>游离甲醛</w:t>
            </w:r>
          </w:p>
        </w:tc>
        <w:tc>
          <w:tcPr>
            <w:tcW w:w="1923" w:type="dxa"/>
            <w:vAlign w:val="center"/>
          </w:tcPr>
          <w:p>
            <w:pPr>
              <w:pStyle w:val="7"/>
              <w:snapToGrid w:val="0"/>
              <w:spacing w:beforeLines="25" w:afterLines="25"/>
              <w:jc w:val="center"/>
              <w:rPr>
                <w:rFonts w:ascii="仿宋_GB2312" w:hAnsi="宋体" w:eastAsia="仿宋_GB2312" w:cs="宋体"/>
                <w:bCs/>
                <w:sz w:val="24"/>
                <w:szCs w:val="24"/>
              </w:rPr>
            </w:pPr>
            <w:r>
              <w:rPr>
                <w:rFonts w:hint="eastAsia" w:ascii="仿宋_GB2312" w:hAnsi="宋体" w:eastAsia="仿宋_GB2312"/>
                <w:sz w:val="24"/>
                <w:szCs w:val="24"/>
              </w:rPr>
              <w:t>GB 20400 5</w:t>
            </w:r>
          </w:p>
        </w:tc>
        <w:tc>
          <w:tcPr>
            <w:tcW w:w="1130" w:type="dxa"/>
            <w:vMerge w:val="continue"/>
            <w:vAlign w:val="center"/>
          </w:tcPr>
          <w:p>
            <w:pPr>
              <w:pStyle w:val="7"/>
              <w:snapToGrid w:val="0"/>
              <w:spacing w:beforeLines="25" w:afterLines="25"/>
              <w:jc w:val="center"/>
              <w:rPr>
                <w:rFonts w:ascii="仿宋_GB2312" w:hAnsi="宋体" w:eastAsia="仿宋_GB2312"/>
                <w:sz w:val="24"/>
                <w:szCs w:val="24"/>
              </w:rPr>
            </w:pPr>
          </w:p>
        </w:tc>
        <w:tc>
          <w:tcPr>
            <w:tcW w:w="1766" w:type="dxa"/>
            <w:vAlign w:val="center"/>
          </w:tcPr>
          <w:p>
            <w:pPr>
              <w:pStyle w:val="7"/>
              <w:snapToGrid w:val="0"/>
              <w:spacing w:beforeLines="25" w:afterLines="25"/>
              <w:jc w:val="center"/>
              <w:rPr>
                <w:rFonts w:ascii="仿宋_GB2312" w:hAnsi="宋体" w:eastAsia="仿宋_GB2312"/>
                <w:sz w:val="24"/>
                <w:szCs w:val="24"/>
              </w:rPr>
            </w:pPr>
            <w:r>
              <w:rPr>
                <w:rFonts w:hint="eastAsia" w:ascii="仿宋_GB2312" w:hAnsi="宋体" w:eastAsia="仿宋_GB2312"/>
                <w:sz w:val="24"/>
                <w:szCs w:val="24"/>
              </w:rPr>
              <w:t>GB/T 19941</w:t>
            </w:r>
          </w:p>
        </w:tc>
        <w:tc>
          <w:tcPr>
            <w:tcW w:w="1188" w:type="dxa"/>
            <w:vMerge w:val="continue"/>
            <w:vAlign w:val="center"/>
          </w:tcPr>
          <w:p>
            <w:pPr>
              <w:pStyle w:val="7"/>
              <w:snapToGrid w:val="0"/>
              <w:spacing w:beforeLines="25" w:afterLines="25"/>
              <w:jc w:val="center"/>
              <w:rPr>
                <w:rFonts w:ascii="仿宋_GB2312" w:hAnsi="宋体" w:eastAsia="仿宋_GB2312"/>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56" w:type="dxa"/>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2</w:t>
            </w:r>
          </w:p>
        </w:tc>
        <w:tc>
          <w:tcPr>
            <w:tcW w:w="2832" w:type="dxa"/>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pH值</w:t>
            </w:r>
          </w:p>
        </w:tc>
        <w:tc>
          <w:tcPr>
            <w:tcW w:w="1923" w:type="dxa"/>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s="宋体"/>
                <w:bCs/>
                <w:color w:val="000000" w:themeColor="text1"/>
                <w:sz w:val="24"/>
                <w:szCs w:val="24"/>
              </w:rPr>
              <w:t>GB 18401 5.1</w:t>
            </w:r>
          </w:p>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 xml:space="preserve">GB 31701 4.2 </w:t>
            </w:r>
          </w:p>
        </w:tc>
        <w:tc>
          <w:tcPr>
            <w:tcW w:w="1130" w:type="dxa"/>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强制性</w:t>
            </w:r>
          </w:p>
        </w:tc>
        <w:tc>
          <w:tcPr>
            <w:tcW w:w="1766" w:type="dxa"/>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GB/T 7573</w:t>
            </w:r>
          </w:p>
        </w:tc>
        <w:tc>
          <w:tcPr>
            <w:tcW w:w="1188" w:type="dxa"/>
            <w:vAlign w:val="center"/>
          </w:tcPr>
          <w:p>
            <w:pPr>
              <w:jc w:val="center"/>
              <w:rPr>
                <w:rFonts w:ascii="仿宋_GB2312" w:eastAsia="仿宋_GB2312"/>
                <w:color w:val="000000" w:themeColor="text1"/>
                <w:sz w:val="24"/>
                <w:szCs w:val="24"/>
              </w:rPr>
            </w:pPr>
            <w:r>
              <w:rPr>
                <w:rFonts w:hint="eastAsia" w:ascii="仿宋_GB2312" w:hAnsi="宋体" w:eastAsia="仿宋_GB2312"/>
                <w:color w:val="000000" w:themeColor="text1"/>
                <w:sz w:val="24"/>
                <w:szCs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56" w:type="dxa"/>
            <w:vMerge w:val="restart"/>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3</w:t>
            </w:r>
          </w:p>
        </w:tc>
        <w:tc>
          <w:tcPr>
            <w:tcW w:w="2832" w:type="dxa"/>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可分解致癌芳香胺染料</w:t>
            </w:r>
          </w:p>
        </w:tc>
        <w:tc>
          <w:tcPr>
            <w:tcW w:w="1923" w:type="dxa"/>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s="宋体"/>
                <w:bCs/>
                <w:color w:val="000000" w:themeColor="text1"/>
                <w:sz w:val="24"/>
                <w:szCs w:val="24"/>
              </w:rPr>
              <w:t>GB 18401 5.1</w:t>
            </w:r>
          </w:p>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 xml:space="preserve">GB 31701 4.2 </w:t>
            </w:r>
          </w:p>
        </w:tc>
        <w:tc>
          <w:tcPr>
            <w:tcW w:w="1130" w:type="dxa"/>
            <w:vMerge w:val="restart"/>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强制性</w:t>
            </w:r>
          </w:p>
        </w:tc>
        <w:tc>
          <w:tcPr>
            <w:tcW w:w="1766" w:type="dxa"/>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GB/T 17592</w:t>
            </w:r>
          </w:p>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GB/T 23344</w:t>
            </w:r>
          </w:p>
        </w:tc>
        <w:tc>
          <w:tcPr>
            <w:tcW w:w="1188" w:type="dxa"/>
            <w:vMerge w:val="restart"/>
            <w:vAlign w:val="center"/>
          </w:tcPr>
          <w:p>
            <w:pPr>
              <w:jc w:val="center"/>
              <w:rPr>
                <w:rFonts w:ascii="仿宋_GB2312" w:eastAsia="仿宋_GB2312"/>
                <w:color w:val="000000" w:themeColor="text1"/>
                <w:sz w:val="24"/>
                <w:szCs w:val="24"/>
              </w:rPr>
            </w:pPr>
            <w:r>
              <w:rPr>
                <w:rFonts w:hint="eastAsia" w:ascii="仿宋_GB2312" w:hAnsi="宋体" w:eastAsia="仿宋_GB2312"/>
                <w:color w:val="000000" w:themeColor="text1"/>
                <w:sz w:val="24"/>
                <w:szCs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56" w:type="dxa"/>
            <w:vMerge w:val="continue"/>
            <w:vAlign w:val="center"/>
          </w:tcPr>
          <w:p>
            <w:pPr>
              <w:pStyle w:val="7"/>
              <w:snapToGrid w:val="0"/>
              <w:spacing w:beforeLines="25" w:afterLines="25"/>
              <w:jc w:val="center"/>
              <w:rPr>
                <w:rFonts w:ascii="仿宋_GB2312" w:hAnsi="宋体" w:eastAsia="仿宋_GB2312"/>
                <w:color w:val="000000" w:themeColor="text1"/>
                <w:sz w:val="24"/>
                <w:szCs w:val="24"/>
              </w:rPr>
            </w:pPr>
          </w:p>
        </w:tc>
        <w:tc>
          <w:tcPr>
            <w:tcW w:w="2832" w:type="dxa"/>
            <w:vAlign w:val="center"/>
          </w:tcPr>
          <w:p>
            <w:pPr>
              <w:pStyle w:val="7"/>
              <w:snapToGrid w:val="0"/>
              <w:spacing w:beforeLines="25" w:afterLines="25"/>
              <w:jc w:val="center"/>
              <w:rPr>
                <w:rFonts w:ascii="仿宋_GB2312" w:hAnsi="宋体" w:eastAsia="仿宋_GB2312"/>
                <w:sz w:val="24"/>
                <w:szCs w:val="24"/>
              </w:rPr>
            </w:pPr>
            <w:r>
              <w:rPr>
                <w:rFonts w:hint="eastAsia" w:ascii="仿宋_GB2312" w:hAnsi="宋体" w:eastAsia="仿宋_GB2312"/>
                <w:sz w:val="24"/>
                <w:szCs w:val="24"/>
              </w:rPr>
              <w:t>可分解有害芳香胺染料</w:t>
            </w:r>
          </w:p>
        </w:tc>
        <w:tc>
          <w:tcPr>
            <w:tcW w:w="1923" w:type="dxa"/>
            <w:vAlign w:val="center"/>
          </w:tcPr>
          <w:p>
            <w:pPr>
              <w:pStyle w:val="7"/>
              <w:snapToGrid w:val="0"/>
              <w:spacing w:beforeLines="25" w:afterLines="25"/>
              <w:jc w:val="center"/>
              <w:rPr>
                <w:rFonts w:ascii="仿宋_GB2312" w:hAnsi="宋体" w:eastAsia="仿宋_GB2312" w:cs="宋体"/>
                <w:bCs/>
                <w:sz w:val="24"/>
                <w:szCs w:val="24"/>
              </w:rPr>
            </w:pPr>
            <w:r>
              <w:rPr>
                <w:rFonts w:hint="eastAsia" w:ascii="仿宋_GB2312" w:hAnsi="宋体" w:eastAsia="仿宋_GB2312"/>
                <w:sz w:val="24"/>
                <w:szCs w:val="24"/>
              </w:rPr>
              <w:t>GB 20400 5</w:t>
            </w:r>
          </w:p>
        </w:tc>
        <w:tc>
          <w:tcPr>
            <w:tcW w:w="1130" w:type="dxa"/>
            <w:vMerge w:val="continue"/>
            <w:vAlign w:val="center"/>
          </w:tcPr>
          <w:p>
            <w:pPr>
              <w:pStyle w:val="7"/>
              <w:snapToGrid w:val="0"/>
              <w:spacing w:beforeLines="25" w:afterLines="25"/>
              <w:jc w:val="center"/>
              <w:rPr>
                <w:rFonts w:ascii="仿宋_GB2312" w:hAnsi="宋体" w:eastAsia="仿宋_GB2312"/>
                <w:sz w:val="24"/>
                <w:szCs w:val="24"/>
              </w:rPr>
            </w:pPr>
          </w:p>
        </w:tc>
        <w:tc>
          <w:tcPr>
            <w:tcW w:w="1766" w:type="dxa"/>
            <w:vAlign w:val="center"/>
          </w:tcPr>
          <w:p>
            <w:pPr>
              <w:pStyle w:val="7"/>
              <w:snapToGrid w:val="0"/>
              <w:spacing w:beforeLines="25" w:afterLines="25"/>
              <w:jc w:val="center"/>
              <w:rPr>
                <w:rFonts w:ascii="仿宋_GB2312" w:hAnsi="宋体" w:eastAsia="仿宋_GB2312"/>
                <w:sz w:val="24"/>
                <w:szCs w:val="24"/>
              </w:rPr>
            </w:pPr>
            <w:r>
              <w:rPr>
                <w:rFonts w:hint="eastAsia" w:ascii="仿宋_GB2312" w:hAnsi="宋体" w:eastAsia="仿宋_GB2312"/>
                <w:sz w:val="24"/>
                <w:szCs w:val="24"/>
              </w:rPr>
              <w:t>GB/T 19942</w:t>
            </w:r>
          </w:p>
        </w:tc>
        <w:tc>
          <w:tcPr>
            <w:tcW w:w="1188" w:type="dxa"/>
            <w:vMerge w:val="continue"/>
            <w:vAlign w:val="center"/>
          </w:tcPr>
          <w:p>
            <w:pPr>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56" w:type="dxa"/>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4</w:t>
            </w:r>
          </w:p>
        </w:tc>
        <w:tc>
          <w:tcPr>
            <w:tcW w:w="2832" w:type="dxa"/>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异味</w:t>
            </w:r>
          </w:p>
        </w:tc>
        <w:tc>
          <w:tcPr>
            <w:tcW w:w="1923" w:type="dxa"/>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s="宋体"/>
                <w:bCs/>
                <w:color w:val="000000" w:themeColor="text1"/>
                <w:sz w:val="24"/>
                <w:szCs w:val="24"/>
              </w:rPr>
              <w:t>GB 18401 5.1</w:t>
            </w:r>
          </w:p>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 xml:space="preserve">GB 31701 4.2 </w:t>
            </w:r>
          </w:p>
        </w:tc>
        <w:tc>
          <w:tcPr>
            <w:tcW w:w="1130" w:type="dxa"/>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强制性</w:t>
            </w:r>
          </w:p>
        </w:tc>
        <w:tc>
          <w:tcPr>
            <w:tcW w:w="1766" w:type="dxa"/>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GB 18401</w:t>
            </w:r>
          </w:p>
        </w:tc>
        <w:tc>
          <w:tcPr>
            <w:tcW w:w="1188" w:type="dxa"/>
            <w:vAlign w:val="center"/>
          </w:tcPr>
          <w:p>
            <w:pPr>
              <w:jc w:val="center"/>
              <w:rPr>
                <w:rFonts w:ascii="仿宋_GB2312" w:eastAsia="仿宋_GB2312"/>
                <w:color w:val="000000" w:themeColor="text1"/>
                <w:sz w:val="24"/>
                <w:szCs w:val="24"/>
              </w:rPr>
            </w:pPr>
            <w:r>
              <w:rPr>
                <w:rFonts w:hint="eastAsia" w:ascii="仿宋_GB2312" w:hAnsi="宋体" w:eastAsia="仿宋_GB2312"/>
                <w:color w:val="000000" w:themeColor="text1"/>
                <w:sz w:val="24"/>
                <w:szCs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56" w:type="dxa"/>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5</w:t>
            </w:r>
          </w:p>
        </w:tc>
        <w:tc>
          <w:tcPr>
            <w:tcW w:w="2832" w:type="dxa"/>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燃烧性能</w:t>
            </w:r>
          </w:p>
        </w:tc>
        <w:tc>
          <w:tcPr>
            <w:tcW w:w="1923" w:type="dxa"/>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GB 31701 4.2</w:t>
            </w:r>
          </w:p>
        </w:tc>
        <w:tc>
          <w:tcPr>
            <w:tcW w:w="1130" w:type="dxa"/>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强制性</w:t>
            </w:r>
          </w:p>
        </w:tc>
        <w:tc>
          <w:tcPr>
            <w:tcW w:w="1766" w:type="dxa"/>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GB/T 14644</w:t>
            </w:r>
          </w:p>
        </w:tc>
        <w:tc>
          <w:tcPr>
            <w:tcW w:w="1188" w:type="dxa"/>
            <w:vAlign w:val="center"/>
          </w:tcPr>
          <w:p>
            <w:pPr>
              <w:jc w:val="center"/>
              <w:rPr>
                <w:rFonts w:ascii="仿宋_GB2312" w:eastAsia="仿宋_GB2312"/>
                <w:color w:val="000000" w:themeColor="text1"/>
                <w:sz w:val="24"/>
                <w:szCs w:val="24"/>
              </w:rPr>
            </w:pPr>
            <w:r>
              <w:rPr>
                <w:rFonts w:hint="eastAsia" w:ascii="仿宋_GB2312" w:hAnsi="宋体" w:eastAsia="仿宋_GB2312"/>
                <w:color w:val="000000" w:themeColor="text1"/>
                <w:sz w:val="24"/>
                <w:szCs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56" w:type="dxa"/>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6</w:t>
            </w:r>
          </w:p>
        </w:tc>
        <w:tc>
          <w:tcPr>
            <w:tcW w:w="2832" w:type="dxa"/>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附件锐利性</w:t>
            </w:r>
          </w:p>
        </w:tc>
        <w:tc>
          <w:tcPr>
            <w:tcW w:w="1923" w:type="dxa"/>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GB 31701 4.4.2</w:t>
            </w:r>
          </w:p>
        </w:tc>
        <w:tc>
          <w:tcPr>
            <w:tcW w:w="1130" w:type="dxa"/>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强制性</w:t>
            </w:r>
          </w:p>
        </w:tc>
        <w:tc>
          <w:tcPr>
            <w:tcW w:w="1766" w:type="dxa"/>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GB/T 31702</w:t>
            </w:r>
          </w:p>
        </w:tc>
        <w:tc>
          <w:tcPr>
            <w:tcW w:w="1188" w:type="dxa"/>
            <w:vAlign w:val="center"/>
          </w:tcPr>
          <w:p>
            <w:pPr>
              <w:jc w:val="center"/>
              <w:rPr>
                <w:rFonts w:ascii="仿宋_GB2312" w:eastAsia="仿宋_GB2312"/>
                <w:color w:val="000000" w:themeColor="text1"/>
                <w:sz w:val="24"/>
                <w:szCs w:val="24"/>
              </w:rPr>
            </w:pPr>
            <w:r>
              <w:rPr>
                <w:rFonts w:hint="eastAsia" w:ascii="仿宋_GB2312" w:hAnsi="宋体" w:eastAsia="仿宋_GB2312"/>
                <w:color w:val="000000" w:themeColor="text1"/>
                <w:sz w:val="24"/>
                <w:szCs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56" w:type="dxa"/>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7</w:t>
            </w:r>
          </w:p>
        </w:tc>
        <w:tc>
          <w:tcPr>
            <w:tcW w:w="2832" w:type="dxa"/>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绳带要求</w:t>
            </w:r>
          </w:p>
        </w:tc>
        <w:tc>
          <w:tcPr>
            <w:tcW w:w="1923" w:type="dxa"/>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GB 31701 4.4.3</w:t>
            </w:r>
          </w:p>
        </w:tc>
        <w:tc>
          <w:tcPr>
            <w:tcW w:w="1130" w:type="dxa"/>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强制性</w:t>
            </w:r>
          </w:p>
        </w:tc>
        <w:tc>
          <w:tcPr>
            <w:tcW w:w="1766" w:type="dxa"/>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目测、尺量</w:t>
            </w:r>
          </w:p>
        </w:tc>
        <w:tc>
          <w:tcPr>
            <w:tcW w:w="1188" w:type="dxa"/>
            <w:vAlign w:val="center"/>
          </w:tcPr>
          <w:p>
            <w:pPr>
              <w:jc w:val="center"/>
              <w:rPr>
                <w:rFonts w:ascii="仿宋_GB2312" w:eastAsia="仿宋_GB2312"/>
                <w:color w:val="000000" w:themeColor="text1"/>
                <w:sz w:val="24"/>
                <w:szCs w:val="24"/>
              </w:rPr>
            </w:pPr>
            <w:r>
              <w:rPr>
                <w:rFonts w:hint="eastAsia" w:ascii="仿宋_GB2312" w:hAnsi="宋体" w:eastAsia="仿宋_GB2312"/>
                <w:color w:val="000000" w:themeColor="text1"/>
                <w:sz w:val="24"/>
                <w:szCs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56" w:type="dxa"/>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8</w:t>
            </w:r>
          </w:p>
        </w:tc>
        <w:tc>
          <w:tcPr>
            <w:tcW w:w="2832" w:type="dxa"/>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其他要求</w:t>
            </w:r>
          </w:p>
        </w:tc>
        <w:tc>
          <w:tcPr>
            <w:tcW w:w="1923" w:type="dxa"/>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GB 31701 4.5</w:t>
            </w:r>
          </w:p>
        </w:tc>
        <w:tc>
          <w:tcPr>
            <w:tcW w:w="1130" w:type="dxa"/>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强制性</w:t>
            </w:r>
          </w:p>
        </w:tc>
        <w:tc>
          <w:tcPr>
            <w:tcW w:w="1766" w:type="dxa"/>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目测、GB/T 24121</w:t>
            </w:r>
          </w:p>
        </w:tc>
        <w:tc>
          <w:tcPr>
            <w:tcW w:w="1188" w:type="dxa"/>
            <w:vAlign w:val="center"/>
          </w:tcPr>
          <w:p>
            <w:pPr>
              <w:jc w:val="center"/>
              <w:rPr>
                <w:rFonts w:ascii="仿宋_GB2312" w:eastAsia="仿宋_GB2312"/>
                <w:color w:val="000000" w:themeColor="text1"/>
                <w:sz w:val="24"/>
                <w:szCs w:val="24"/>
              </w:rPr>
            </w:pPr>
            <w:r>
              <w:rPr>
                <w:rFonts w:hint="eastAsia" w:ascii="仿宋_GB2312" w:hAnsi="宋体" w:eastAsia="仿宋_GB2312"/>
                <w:color w:val="000000" w:themeColor="text1"/>
                <w:sz w:val="24"/>
                <w:szCs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56" w:type="dxa"/>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9</w:t>
            </w:r>
          </w:p>
        </w:tc>
        <w:tc>
          <w:tcPr>
            <w:tcW w:w="2832" w:type="dxa"/>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耐水色牢度</w:t>
            </w:r>
          </w:p>
        </w:tc>
        <w:tc>
          <w:tcPr>
            <w:tcW w:w="1923" w:type="dxa"/>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s="宋体"/>
                <w:bCs/>
                <w:color w:val="000000" w:themeColor="text1"/>
                <w:sz w:val="24"/>
                <w:szCs w:val="24"/>
              </w:rPr>
              <w:t>GB 18401 5.1</w:t>
            </w:r>
          </w:p>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 xml:space="preserve">GB 31701 4.2 </w:t>
            </w:r>
          </w:p>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相应产品标准</w:t>
            </w:r>
          </w:p>
        </w:tc>
        <w:tc>
          <w:tcPr>
            <w:tcW w:w="1130" w:type="dxa"/>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强制性</w:t>
            </w:r>
          </w:p>
        </w:tc>
        <w:tc>
          <w:tcPr>
            <w:tcW w:w="1766" w:type="dxa"/>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GB/T 5713</w:t>
            </w:r>
          </w:p>
        </w:tc>
        <w:tc>
          <w:tcPr>
            <w:tcW w:w="1188" w:type="dxa"/>
            <w:vAlign w:val="center"/>
          </w:tcPr>
          <w:p>
            <w:pPr>
              <w:jc w:val="center"/>
              <w:rPr>
                <w:rFonts w:ascii="仿宋_GB2312" w:eastAsia="仿宋_GB2312"/>
                <w:color w:val="000000" w:themeColor="text1"/>
                <w:sz w:val="24"/>
                <w:szCs w:val="24"/>
              </w:rPr>
            </w:pPr>
            <w:r>
              <w:rPr>
                <w:rFonts w:hint="eastAsia" w:ascii="仿宋_GB2312" w:hAnsi="宋体" w:eastAsia="仿宋_GB2312"/>
                <w:color w:val="000000" w:themeColor="text1"/>
                <w:sz w:val="24"/>
                <w:szCs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56" w:type="dxa"/>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10</w:t>
            </w:r>
          </w:p>
        </w:tc>
        <w:tc>
          <w:tcPr>
            <w:tcW w:w="2832" w:type="dxa"/>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耐酸汗渍色牢度</w:t>
            </w:r>
          </w:p>
        </w:tc>
        <w:tc>
          <w:tcPr>
            <w:tcW w:w="1923" w:type="dxa"/>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s="宋体"/>
                <w:bCs/>
                <w:color w:val="000000" w:themeColor="text1"/>
                <w:sz w:val="24"/>
                <w:szCs w:val="24"/>
              </w:rPr>
              <w:t>GB 18401 5.1</w:t>
            </w:r>
          </w:p>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 xml:space="preserve">GB 31701 4.2 </w:t>
            </w:r>
          </w:p>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相应产品标准</w:t>
            </w:r>
          </w:p>
        </w:tc>
        <w:tc>
          <w:tcPr>
            <w:tcW w:w="1130" w:type="dxa"/>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强制性</w:t>
            </w:r>
          </w:p>
        </w:tc>
        <w:tc>
          <w:tcPr>
            <w:tcW w:w="1766" w:type="dxa"/>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GB/T 3922</w:t>
            </w:r>
          </w:p>
        </w:tc>
        <w:tc>
          <w:tcPr>
            <w:tcW w:w="1188" w:type="dxa"/>
            <w:vAlign w:val="center"/>
          </w:tcPr>
          <w:p>
            <w:pPr>
              <w:jc w:val="center"/>
              <w:rPr>
                <w:rFonts w:ascii="仿宋_GB2312" w:eastAsia="仿宋_GB2312"/>
                <w:color w:val="000000" w:themeColor="text1"/>
                <w:sz w:val="24"/>
                <w:szCs w:val="24"/>
              </w:rPr>
            </w:pPr>
            <w:r>
              <w:rPr>
                <w:rFonts w:hint="eastAsia" w:ascii="仿宋_GB2312" w:hAnsi="宋体" w:eastAsia="仿宋_GB2312"/>
                <w:color w:val="000000" w:themeColor="text1"/>
                <w:sz w:val="24"/>
                <w:szCs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56" w:type="dxa"/>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11</w:t>
            </w:r>
          </w:p>
        </w:tc>
        <w:tc>
          <w:tcPr>
            <w:tcW w:w="2832" w:type="dxa"/>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耐碱汗渍色牢度</w:t>
            </w:r>
          </w:p>
        </w:tc>
        <w:tc>
          <w:tcPr>
            <w:tcW w:w="1923" w:type="dxa"/>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s="宋体"/>
                <w:bCs/>
                <w:color w:val="000000" w:themeColor="text1"/>
                <w:sz w:val="24"/>
                <w:szCs w:val="24"/>
              </w:rPr>
              <w:t>GB 18401 5.1</w:t>
            </w:r>
          </w:p>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 xml:space="preserve">GB 31701 4.2 </w:t>
            </w:r>
          </w:p>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相应产品标准</w:t>
            </w:r>
          </w:p>
        </w:tc>
        <w:tc>
          <w:tcPr>
            <w:tcW w:w="1130" w:type="dxa"/>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强制性</w:t>
            </w:r>
          </w:p>
        </w:tc>
        <w:tc>
          <w:tcPr>
            <w:tcW w:w="1766" w:type="dxa"/>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GB/T 3922</w:t>
            </w:r>
          </w:p>
        </w:tc>
        <w:tc>
          <w:tcPr>
            <w:tcW w:w="1188" w:type="dxa"/>
            <w:vAlign w:val="center"/>
          </w:tcPr>
          <w:p>
            <w:pPr>
              <w:jc w:val="center"/>
              <w:rPr>
                <w:rFonts w:ascii="仿宋_GB2312" w:eastAsia="仿宋_GB2312"/>
                <w:color w:val="000000" w:themeColor="text1"/>
                <w:sz w:val="24"/>
                <w:szCs w:val="24"/>
              </w:rPr>
            </w:pPr>
            <w:r>
              <w:rPr>
                <w:rFonts w:hint="eastAsia" w:ascii="仿宋_GB2312" w:hAnsi="宋体" w:eastAsia="仿宋_GB2312"/>
                <w:color w:val="000000" w:themeColor="text1"/>
                <w:sz w:val="24"/>
                <w:szCs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56" w:type="dxa"/>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12</w:t>
            </w:r>
          </w:p>
        </w:tc>
        <w:tc>
          <w:tcPr>
            <w:tcW w:w="2832" w:type="dxa"/>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耐干摩擦色牢度</w:t>
            </w:r>
          </w:p>
        </w:tc>
        <w:tc>
          <w:tcPr>
            <w:tcW w:w="1923" w:type="dxa"/>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s="宋体"/>
                <w:bCs/>
                <w:color w:val="000000" w:themeColor="text1"/>
                <w:sz w:val="24"/>
                <w:szCs w:val="24"/>
              </w:rPr>
              <w:t>GB 18401 5.1</w:t>
            </w:r>
          </w:p>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 xml:space="preserve">GB 31701 4.2 </w:t>
            </w:r>
          </w:p>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相应产品标准</w:t>
            </w:r>
          </w:p>
        </w:tc>
        <w:tc>
          <w:tcPr>
            <w:tcW w:w="1130" w:type="dxa"/>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强制性</w:t>
            </w:r>
          </w:p>
        </w:tc>
        <w:tc>
          <w:tcPr>
            <w:tcW w:w="1766" w:type="dxa"/>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GB/T 3920</w:t>
            </w:r>
          </w:p>
        </w:tc>
        <w:tc>
          <w:tcPr>
            <w:tcW w:w="1188" w:type="dxa"/>
            <w:vAlign w:val="center"/>
          </w:tcPr>
          <w:p>
            <w:pPr>
              <w:jc w:val="center"/>
              <w:rPr>
                <w:rFonts w:ascii="仿宋_GB2312" w:eastAsia="仿宋_GB2312"/>
                <w:color w:val="000000" w:themeColor="text1"/>
                <w:sz w:val="24"/>
                <w:szCs w:val="24"/>
              </w:rPr>
            </w:pPr>
            <w:r>
              <w:rPr>
                <w:rFonts w:hint="eastAsia" w:ascii="仿宋_GB2312" w:hAnsi="宋体" w:eastAsia="仿宋_GB2312"/>
                <w:color w:val="000000" w:themeColor="text1"/>
                <w:sz w:val="24"/>
                <w:szCs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56" w:type="dxa"/>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13</w:t>
            </w:r>
          </w:p>
        </w:tc>
        <w:tc>
          <w:tcPr>
            <w:tcW w:w="2832" w:type="dxa"/>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耐湿摩擦色牢度</w:t>
            </w:r>
          </w:p>
        </w:tc>
        <w:tc>
          <w:tcPr>
            <w:tcW w:w="1923" w:type="dxa"/>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GB 31701 4.2</w:t>
            </w:r>
          </w:p>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相应产品标准</w:t>
            </w:r>
          </w:p>
        </w:tc>
        <w:tc>
          <w:tcPr>
            <w:tcW w:w="1130" w:type="dxa"/>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强制性</w:t>
            </w:r>
          </w:p>
        </w:tc>
        <w:tc>
          <w:tcPr>
            <w:tcW w:w="1766" w:type="dxa"/>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GB/T 3920</w:t>
            </w:r>
          </w:p>
        </w:tc>
        <w:tc>
          <w:tcPr>
            <w:tcW w:w="1188" w:type="dxa"/>
            <w:vAlign w:val="center"/>
          </w:tcPr>
          <w:p>
            <w:pPr>
              <w:jc w:val="center"/>
              <w:rPr>
                <w:rFonts w:ascii="仿宋_GB2312" w:eastAsia="仿宋_GB2312"/>
                <w:color w:val="000000" w:themeColor="text1"/>
                <w:sz w:val="24"/>
                <w:szCs w:val="24"/>
              </w:rPr>
            </w:pPr>
            <w:r>
              <w:rPr>
                <w:rFonts w:hint="eastAsia" w:ascii="仿宋_GB2312" w:hAnsi="宋体" w:eastAsia="仿宋_GB2312"/>
                <w:color w:val="000000" w:themeColor="text1"/>
                <w:sz w:val="24"/>
                <w:szCs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56" w:type="dxa"/>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14</w:t>
            </w:r>
          </w:p>
        </w:tc>
        <w:tc>
          <w:tcPr>
            <w:tcW w:w="2832" w:type="dxa"/>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耐唾液色牢度</w:t>
            </w:r>
          </w:p>
        </w:tc>
        <w:tc>
          <w:tcPr>
            <w:tcW w:w="1923" w:type="dxa"/>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s="宋体"/>
                <w:bCs/>
                <w:color w:val="000000" w:themeColor="text1"/>
                <w:sz w:val="24"/>
                <w:szCs w:val="24"/>
              </w:rPr>
              <w:t>GB 18401 5.1</w:t>
            </w:r>
          </w:p>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 xml:space="preserve">GB 31701 4.2 </w:t>
            </w:r>
          </w:p>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相应产品标准</w:t>
            </w:r>
          </w:p>
        </w:tc>
        <w:tc>
          <w:tcPr>
            <w:tcW w:w="1130" w:type="dxa"/>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强制性</w:t>
            </w:r>
          </w:p>
        </w:tc>
        <w:tc>
          <w:tcPr>
            <w:tcW w:w="1766" w:type="dxa"/>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GB/T 18886</w:t>
            </w:r>
          </w:p>
        </w:tc>
        <w:tc>
          <w:tcPr>
            <w:tcW w:w="1188" w:type="dxa"/>
            <w:vAlign w:val="center"/>
          </w:tcPr>
          <w:p>
            <w:pPr>
              <w:jc w:val="center"/>
              <w:rPr>
                <w:rFonts w:ascii="仿宋_GB2312" w:eastAsia="仿宋_GB2312"/>
                <w:color w:val="000000" w:themeColor="text1"/>
                <w:sz w:val="24"/>
                <w:szCs w:val="24"/>
              </w:rPr>
            </w:pPr>
            <w:r>
              <w:rPr>
                <w:rFonts w:hint="eastAsia" w:ascii="仿宋_GB2312" w:hAnsi="宋体" w:eastAsia="仿宋_GB2312"/>
                <w:color w:val="000000" w:themeColor="text1"/>
                <w:sz w:val="24"/>
                <w:szCs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56" w:type="dxa"/>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15</w:t>
            </w:r>
          </w:p>
        </w:tc>
        <w:tc>
          <w:tcPr>
            <w:tcW w:w="2832" w:type="dxa"/>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重金属</w:t>
            </w:r>
          </w:p>
        </w:tc>
        <w:tc>
          <w:tcPr>
            <w:tcW w:w="1923" w:type="dxa"/>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GB 31701 4.2</w:t>
            </w:r>
          </w:p>
        </w:tc>
        <w:tc>
          <w:tcPr>
            <w:tcW w:w="1130" w:type="dxa"/>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强制性</w:t>
            </w:r>
          </w:p>
        </w:tc>
        <w:tc>
          <w:tcPr>
            <w:tcW w:w="1766" w:type="dxa"/>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GB/T 30157</w:t>
            </w:r>
          </w:p>
        </w:tc>
        <w:tc>
          <w:tcPr>
            <w:tcW w:w="1188" w:type="dxa"/>
            <w:vAlign w:val="center"/>
          </w:tcPr>
          <w:p>
            <w:pPr>
              <w:jc w:val="center"/>
              <w:rPr>
                <w:rFonts w:ascii="仿宋_GB2312" w:eastAsia="仿宋_GB2312"/>
                <w:color w:val="000000" w:themeColor="text1"/>
                <w:sz w:val="24"/>
                <w:szCs w:val="24"/>
              </w:rPr>
            </w:pPr>
            <w:r>
              <w:rPr>
                <w:rFonts w:hint="eastAsia" w:ascii="仿宋_GB2312" w:hAnsi="宋体" w:eastAsia="仿宋_GB2312"/>
                <w:color w:val="000000" w:themeColor="text1"/>
                <w:sz w:val="24"/>
                <w:szCs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56" w:type="dxa"/>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16</w:t>
            </w:r>
          </w:p>
        </w:tc>
        <w:tc>
          <w:tcPr>
            <w:tcW w:w="2832" w:type="dxa"/>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邻苯二甲酸酯</w:t>
            </w:r>
          </w:p>
        </w:tc>
        <w:tc>
          <w:tcPr>
            <w:tcW w:w="1923" w:type="dxa"/>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GB 31701 4.2</w:t>
            </w:r>
          </w:p>
        </w:tc>
        <w:tc>
          <w:tcPr>
            <w:tcW w:w="1130" w:type="dxa"/>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强制性</w:t>
            </w:r>
          </w:p>
        </w:tc>
        <w:tc>
          <w:tcPr>
            <w:tcW w:w="1766" w:type="dxa"/>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GB/T 20388</w:t>
            </w:r>
          </w:p>
        </w:tc>
        <w:tc>
          <w:tcPr>
            <w:tcW w:w="1188" w:type="dxa"/>
            <w:vAlign w:val="center"/>
          </w:tcPr>
          <w:p>
            <w:pPr>
              <w:jc w:val="center"/>
              <w:rPr>
                <w:rFonts w:ascii="仿宋_GB2312" w:eastAsia="仿宋_GB2312"/>
                <w:color w:val="000000" w:themeColor="text1"/>
                <w:sz w:val="24"/>
                <w:szCs w:val="24"/>
              </w:rPr>
            </w:pPr>
            <w:r>
              <w:rPr>
                <w:rFonts w:hint="eastAsia" w:ascii="仿宋_GB2312" w:hAnsi="宋体" w:eastAsia="仿宋_GB2312"/>
                <w:color w:val="000000" w:themeColor="text1"/>
                <w:sz w:val="24"/>
                <w:szCs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56" w:type="dxa"/>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17</w:t>
            </w:r>
          </w:p>
        </w:tc>
        <w:tc>
          <w:tcPr>
            <w:tcW w:w="2832" w:type="dxa"/>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附件抗拉强力</w:t>
            </w:r>
          </w:p>
        </w:tc>
        <w:tc>
          <w:tcPr>
            <w:tcW w:w="1923" w:type="dxa"/>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GB 31701 4.4.1</w:t>
            </w:r>
          </w:p>
        </w:tc>
        <w:tc>
          <w:tcPr>
            <w:tcW w:w="1130" w:type="dxa"/>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强制性</w:t>
            </w:r>
          </w:p>
        </w:tc>
        <w:tc>
          <w:tcPr>
            <w:tcW w:w="1766" w:type="dxa"/>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GB 31701 附录A</w:t>
            </w:r>
          </w:p>
        </w:tc>
        <w:tc>
          <w:tcPr>
            <w:tcW w:w="1188" w:type="dxa"/>
            <w:vAlign w:val="center"/>
          </w:tcPr>
          <w:p>
            <w:pPr>
              <w:jc w:val="center"/>
              <w:rPr>
                <w:rFonts w:ascii="仿宋_GB2312" w:eastAsia="仿宋_GB2312"/>
                <w:color w:val="000000" w:themeColor="text1"/>
                <w:sz w:val="24"/>
                <w:szCs w:val="24"/>
              </w:rPr>
            </w:pPr>
            <w:r>
              <w:rPr>
                <w:rFonts w:hint="eastAsia" w:ascii="仿宋_GB2312" w:hAnsi="宋体" w:eastAsia="仿宋_GB2312"/>
                <w:color w:val="000000" w:themeColor="text1"/>
                <w:sz w:val="24"/>
                <w:szCs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56" w:type="dxa"/>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18</w:t>
            </w:r>
          </w:p>
        </w:tc>
        <w:tc>
          <w:tcPr>
            <w:tcW w:w="2832" w:type="dxa"/>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可萃取重金属含量</w:t>
            </w:r>
          </w:p>
        </w:tc>
        <w:tc>
          <w:tcPr>
            <w:tcW w:w="1923" w:type="dxa"/>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相应产品标准</w:t>
            </w:r>
          </w:p>
        </w:tc>
        <w:tc>
          <w:tcPr>
            <w:tcW w:w="1130" w:type="dxa"/>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推荐性</w:t>
            </w:r>
          </w:p>
        </w:tc>
        <w:tc>
          <w:tcPr>
            <w:tcW w:w="1766" w:type="dxa"/>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相应产品标准</w:t>
            </w:r>
          </w:p>
        </w:tc>
        <w:tc>
          <w:tcPr>
            <w:tcW w:w="1188" w:type="dxa"/>
            <w:vAlign w:val="center"/>
          </w:tcPr>
          <w:p>
            <w:pPr>
              <w:jc w:val="center"/>
              <w:rPr>
                <w:rFonts w:ascii="仿宋_GB2312" w:eastAsia="仿宋_GB2312"/>
                <w:color w:val="000000" w:themeColor="text1"/>
                <w:sz w:val="24"/>
                <w:szCs w:val="24"/>
              </w:rPr>
            </w:pPr>
            <w:r>
              <w:rPr>
                <w:rFonts w:hint="eastAsia" w:ascii="仿宋_GB2312" w:hAnsi="宋体" w:eastAsia="仿宋_GB2312"/>
                <w:color w:val="000000" w:themeColor="text1"/>
                <w:sz w:val="24"/>
                <w:szCs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56" w:type="dxa"/>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19</w:t>
            </w:r>
          </w:p>
        </w:tc>
        <w:tc>
          <w:tcPr>
            <w:tcW w:w="2832" w:type="dxa"/>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衣带缝纫强力</w:t>
            </w:r>
          </w:p>
        </w:tc>
        <w:tc>
          <w:tcPr>
            <w:tcW w:w="1923" w:type="dxa"/>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相应产品标准</w:t>
            </w:r>
          </w:p>
        </w:tc>
        <w:tc>
          <w:tcPr>
            <w:tcW w:w="1130" w:type="dxa"/>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推荐性</w:t>
            </w:r>
          </w:p>
        </w:tc>
        <w:tc>
          <w:tcPr>
            <w:tcW w:w="1766" w:type="dxa"/>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相应产品标准</w:t>
            </w:r>
          </w:p>
        </w:tc>
        <w:tc>
          <w:tcPr>
            <w:tcW w:w="1188" w:type="dxa"/>
            <w:vAlign w:val="center"/>
          </w:tcPr>
          <w:p>
            <w:pPr>
              <w:jc w:val="center"/>
              <w:rPr>
                <w:rFonts w:ascii="仿宋_GB2312" w:eastAsia="仿宋_GB2312"/>
                <w:color w:val="000000" w:themeColor="text1"/>
                <w:sz w:val="24"/>
                <w:szCs w:val="24"/>
              </w:rPr>
            </w:pPr>
            <w:r>
              <w:rPr>
                <w:rFonts w:hint="eastAsia" w:ascii="仿宋_GB2312" w:hAnsi="宋体" w:eastAsia="仿宋_GB2312"/>
                <w:color w:val="000000" w:themeColor="text1"/>
                <w:sz w:val="24"/>
                <w:szCs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56" w:type="dxa"/>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20</w:t>
            </w:r>
          </w:p>
        </w:tc>
        <w:tc>
          <w:tcPr>
            <w:tcW w:w="2832" w:type="dxa"/>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纽扣等不可拆卸附件拉力（或纽扣缝纫强力）</w:t>
            </w:r>
          </w:p>
        </w:tc>
        <w:tc>
          <w:tcPr>
            <w:tcW w:w="1923" w:type="dxa"/>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相应产品标准</w:t>
            </w:r>
          </w:p>
        </w:tc>
        <w:tc>
          <w:tcPr>
            <w:tcW w:w="1130" w:type="dxa"/>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推荐性</w:t>
            </w:r>
          </w:p>
        </w:tc>
        <w:tc>
          <w:tcPr>
            <w:tcW w:w="1766" w:type="dxa"/>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相应产品标准</w:t>
            </w:r>
          </w:p>
        </w:tc>
        <w:tc>
          <w:tcPr>
            <w:tcW w:w="1188" w:type="dxa"/>
            <w:vAlign w:val="center"/>
          </w:tcPr>
          <w:p>
            <w:pPr>
              <w:jc w:val="center"/>
              <w:rPr>
                <w:rFonts w:ascii="仿宋_GB2312" w:eastAsia="仿宋_GB2312"/>
                <w:color w:val="000000" w:themeColor="text1"/>
                <w:sz w:val="24"/>
                <w:szCs w:val="24"/>
              </w:rPr>
            </w:pPr>
            <w:r>
              <w:rPr>
                <w:rFonts w:hint="eastAsia" w:ascii="仿宋_GB2312" w:hAnsi="宋体" w:eastAsia="仿宋_GB2312"/>
                <w:color w:val="000000" w:themeColor="text1"/>
                <w:sz w:val="24"/>
                <w:szCs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56" w:type="dxa"/>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21</w:t>
            </w:r>
          </w:p>
        </w:tc>
        <w:tc>
          <w:tcPr>
            <w:tcW w:w="2832" w:type="dxa"/>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耐皂洗色牢度</w:t>
            </w:r>
          </w:p>
        </w:tc>
        <w:tc>
          <w:tcPr>
            <w:tcW w:w="1923" w:type="dxa"/>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相应产品标准</w:t>
            </w:r>
          </w:p>
        </w:tc>
        <w:tc>
          <w:tcPr>
            <w:tcW w:w="1130" w:type="dxa"/>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推荐性</w:t>
            </w:r>
          </w:p>
        </w:tc>
        <w:tc>
          <w:tcPr>
            <w:tcW w:w="1766" w:type="dxa"/>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相应产品标准</w:t>
            </w:r>
          </w:p>
        </w:tc>
        <w:tc>
          <w:tcPr>
            <w:tcW w:w="1188" w:type="dxa"/>
            <w:vAlign w:val="center"/>
          </w:tcPr>
          <w:p>
            <w:pPr>
              <w:jc w:val="center"/>
              <w:rPr>
                <w:rFonts w:ascii="仿宋_GB2312" w:eastAsia="仿宋_GB2312"/>
                <w:color w:val="000000" w:themeColor="text1"/>
                <w:sz w:val="24"/>
                <w:szCs w:val="24"/>
              </w:rPr>
            </w:pPr>
            <w:r>
              <w:rPr>
                <w:rFonts w:hint="eastAsia" w:ascii="仿宋_GB2312" w:hAnsi="宋体" w:eastAsia="仿宋_GB2312"/>
                <w:color w:val="000000" w:themeColor="text1"/>
                <w:sz w:val="24"/>
                <w:szCs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56" w:type="dxa"/>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22</w:t>
            </w:r>
          </w:p>
        </w:tc>
        <w:tc>
          <w:tcPr>
            <w:tcW w:w="2832" w:type="dxa"/>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耐光色牢度</w:t>
            </w:r>
          </w:p>
        </w:tc>
        <w:tc>
          <w:tcPr>
            <w:tcW w:w="1923" w:type="dxa"/>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相应产品标准</w:t>
            </w:r>
          </w:p>
        </w:tc>
        <w:tc>
          <w:tcPr>
            <w:tcW w:w="1130" w:type="dxa"/>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推荐性</w:t>
            </w:r>
          </w:p>
        </w:tc>
        <w:tc>
          <w:tcPr>
            <w:tcW w:w="1766" w:type="dxa"/>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GB/T 8427</w:t>
            </w:r>
          </w:p>
        </w:tc>
        <w:tc>
          <w:tcPr>
            <w:tcW w:w="1188" w:type="dxa"/>
            <w:vAlign w:val="center"/>
          </w:tcPr>
          <w:p>
            <w:pPr>
              <w:jc w:val="center"/>
              <w:rPr>
                <w:rFonts w:ascii="仿宋_GB2312" w:eastAsia="仿宋_GB2312"/>
                <w:color w:val="000000" w:themeColor="text1"/>
                <w:sz w:val="24"/>
                <w:szCs w:val="24"/>
              </w:rPr>
            </w:pPr>
            <w:r>
              <w:rPr>
                <w:rFonts w:hint="eastAsia" w:ascii="仿宋_GB2312" w:hAnsi="宋体" w:eastAsia="仿宋_GB2312"/>
                <w:color w:val="000000" w:themeColor="text1"/>
                <w:sz w:val="24"/>
                <w:szCs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56" w:type="dxa"/>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23</w:t>
            </w:r>
          </w:p>
        </w:tc>
        <w:tc>
          <w:tcPr>
            <w:tcW w:w="2832" w:type="dxa"/>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纤维含量</w:t>
            </w:r>
          </w:p>
        </w:tc>
        <w:tc>
          <w:tcPr>
            <w:tcW w:w="1923" w:type="dxa"/>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GB/T 29862</w:t>
            </w:r>
          </w:p>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相应产品标准</w:t>
            </w:r>
          </w:p>
        </w:tc>
        <w:tc>
          <w:tcPr>
            <w:tcW w:w="1130" w:type="dxa"/>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推荐性</w:t>
            </w:r>
          </w:p>
        </w:tc>
        <w:tc>
          <w:tcPr>
            <w:tcW w:w="1766" w:type="dxa"/>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FZ/T 01057</w:t>
            </w:r>
          </w:p>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GB/T 2910等</w:t>
            </w:r>
          </w:p>
        </w:tc>
        <w:tc>
          <w:tcPr>
            <w:tcW w:w="1188" w:type="dxa"/>
            <w:vAlign w:val="center"/>
          </w:tcPr>
          <w:p>
            <w:pPr>
              <w:jc w:val="center"/>
              <w:rPr>
                <w:rFonts w:ascii="仿宋_GB2312" w:eastAsia="仿宋_GB2312"/>
                <w:color w:val="000000" w:themeColor="text1"/>
                <w:sz w:val="24"/>
                <w:szCs w:val="24"/>
              </w:rPr>
            </w:pPr>
            <w:r>
              <w:rPr>
                <w:rFonts w:hint="eastAsia" w:ascii="仿宋_GB2312" w:hAnsi="宋体" w:eastAsia="仿宋_GB2312"/>
                <w:color w:val="000000" w:themeColor="text1"/>
                <w:sz w:val="24"/>
                <w:szCs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56" w:type="dxa"/>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24</w:t>
            </w:r>
          </w:p>
        </w:tc>
        <w:tc>
          <w:tcPr>
            <w:tcW w:w="2832" w:type="dxa"/>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起球</w:t>
            </w:r>
          </w:p>
        </w:tc>
        <w:tc>
          <w:tcPr>
            <w:tcW w:w="1923" w:type="dxa"/>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相应产品标准</w:t>
            </w:r>
          </w:p>
        </w:tc>
        <w:tc>
          <w:tcPr>
            <w:tcW w:w="1130" w:type="dxa"/>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推荐性</w:t>
            </w:r>
          </w:p>
        </w:tc>
        <w:tc>
          <w:tcPr>
            <w:tcW w:w="1766" w:type="dxa"/>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相应产品标准</w:t>
            </w:r>
          </w:p>
        </w:tc>
        <w:tc>
          <w:tcPr>
            <w:tcW w:w="1188" w:type="dxa"/>
            <w:vAlign w:val="center"/>
          </w:tcPr>
          <w:p>
            <w:pPr>
              <w:jc w:val="center"/>
              <w:rPr>
                <w:rFonts w:ascii="仿宋_GB2312" w:eastAsia="仿宋_GB2312"/>
                <w:color w:val="000000" w:themeColor="text1"/>
                <w:sz w:val="24"/>
                <w:szCs w:val="24"/>
              </w:rPr>
            </w:pPr>
            <w:r>
              <w:rPr>
                <w:rFonts w:hint="eastAsia" w:ascii="仿宋_GB2312" w:hAnsi="宋体" w:eastAsia="仿宋_GB2312"/>
                <w:color w:val="000000" w:themeColor="text1"/>
                <w:sz w:val="24"/>
                <w:szCs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56" w:type="dxa"/>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25</w:t>
            </w:r>
          </w:p>
        </w:tc>
        <w:tc>
          <w:tcPr>
            <w:tcW w:w="2832" w:type="dxa"/>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接缝性能</w:t>
            </w:r>
          </w:p>
        </w:tc>
        <w:tc>
          <w:tcPr>
            <w:tcW w:w="1923" w:type="dxa"/>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相应产品标准</w:t>
            </w:r>
          </w:p>
        </w:tc>
        <w:tc>
          <w:tcPr>
            <w:tcW w:w="1130" w:type="dxa"/>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推荐性</w:t>
            </w:r>
          </w:p>
        </w:tc>
        <w:tc>
          <w:tcPr>
            <w:tcW w:w="1766" w:type="dxa"/>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相应产品标准</w:t>
            </w:r>
          </w:p>
        </w:tc>
        <w:tc>
          <w:tcPr>
            <w:tcW w:w="1188" w:type="dxa"/>
            <w:vAlign w:val="center"/>
          </w:tcPr>
          <w:p>
            <w:pPr>
              <w:jc w:val="center"/>
              <w:rPr>
                <w:rFonts w:ascii="仿宋_GB2312" w:eastAsia="仿宋_GB2312"/>
                <w:color w:val="000000" w:themeColor="text1"/>
                <w:sz w:val="24"/>
                <w:szCs w:val="24"/>
              </w:rPr>
            </w:pPr>
            <w:r>
              <w:rPr>
                <w:rFonts w:hint="eastAsia" w:ascii="仿宋_GB2312" w:hAnsi="宋体" w:eastAsia="仿宋_GB2312"/>
                <w:color w:val="000000" w:themeColor="text1"/>
                <w:sz w:val="24"/>
                <w:szCs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56" w:type="dxa"/>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26</w:t>
            </w:r>
          </w:p>
        </w:tc>
        <w:tc>
          <w:tcPr>
            <w:tcW w:w="2832" w:type="dxa"/>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水洗尺寸变化率</w:t>
            </w:r>
          </w:p>
        </w:tc>
        <w:tc>
          <w:tcPr>
            <w:tcW w:w="1923" w:type="dxa"/>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相应产品标准</w:t>
            </w:r>
          </w:p>
        </w:tc>
        <w:tc>
          <w:tcPr>
            <w:tcW w:w="1130" w:type="dxa"/>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推荐性</w:t>
            </w:r>
          </w:p>
        </w:tc>
        <w:tc>
          <w:tcPr>
            <w:tcW w:w="1766" w:type="dxa"/>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相应产品标准</w:t>
            </w:r>
          </w:p>
        </w:tc>
        <w:tc>
          <w:tcPr>
            <w:tcW w:w="1188" w:type="dxa"/>
            <w:vAlign w:val="center"/>
          </w:tcPr>
          <w:p>
            <w:pPr>
              <w:jc w:val="center"/>
              <w:rPr>
                <w:rFonts w:ascii="仿宋_GB2312" w:eastAsia="仿宋_GB2312"/>
                <w:color w:val="000000" w:themeColor="text1"/>
                <w:sz w:val="24"/>
                <w:szCs w:val="24"/>
              </w:rPr>
            </w:pPr>
            <w:r>
              <w:rPr>
                <w:rFonts w:hint="eastAsia" w:ascii="仿宋_GB2312" w:hAnsi="宋体" w:eastAsia="仿宋_GB2312"/>
                <w:color w:val="000000" w:themeColor="text1"/>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56" w:type="dxa"/>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27</w:t>
            </w:r>
          </w:p>
        </w:tc>
        <w:tc>
          <w:tcPr>
            <w:tcW w:w="2832" w:type="dxa"/>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水洗后扭曲率</w:t>
            </w:r>
          </w:p>
        </w:tc>
        <w:tc>
          <w:tcPr>
            <w:tcW w:w="1923" w:type="dxa"/>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相应产品标准</w:t>
            </w:r>
          </w:p>
        </w:tc>
        <w:tc>
          <w:tcPr>
            <w:tcW w:w="1130" w:type="dxa"/>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推荐性</w:t>
            </w:r>
          </w:p>
        </w:tc>
        <w:tc>
          <w:tcPr>
            <w:tcW w:w="1766" w:type="dxa"/>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相应产品标准</w:t>
            </w:r>
          </w:p>
        </w:tc>
        <w:tc>
          <w:tcPr>
            <w:tcW w:w="1188" w:type="dxa"/>
            <w:vAlign w:val="center"/>
          </w:tcPr>
          <w:p>
            <w:pPr>
              <w:jc w:val="center"/>
              <w:rPr>
                <w:rFonts w:ascii="仿宋_GB2312" w:eastAsia="仿宋_GB2312"/>
                <w:color w:val="000000" w:themeColor="text1"/>
                <w:sz w:val="24"/>
                <w:szCs w:val="24"/>
              </w:rPr>
            </w:pPr>
            <w:r>
              <w:rPr>
                <w:rFonts w:hint="eastAsia" w:ascii="仿宋_GB2312" w:hAnsi="宋体" w:eastAsia="仿宋_GB2312"/>
                <w:color w:val="000000" w:themeColor="text1"/>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56" w:type="dxa"/>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28</w:t>
            </w:r>
          </w:p>
        </w:tc>
        <w:tc>
          <w:tcPr>
            <w:tcW w:w="2832" w:type="dxa"/>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水洗后外观</w:t>
            </w:r>
          </w:p>
        </w:tc>
        <w:tc>
          <w:tcPr>
            <w:tcW w:w="1923" w:type="dxa"/>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相应产品标准</w:t>
            </w:r>
          </w:p>
        </w:tc>
        <w:tc>
          <w:tcPr>
            <w:tcW w:w="1130" w:type="dxa"/>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推荐性</w:t>
            </w:r>
          </w:p>
        </w:tc>
        <w:tc>
          <w:tcPr>
            <w:tcW w:w="1766" w:type="dxa"/>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相应产品标准</w:t>
            </w:r>
          </w:p>
        </w:tc>
        <w:tc>
          <w:tcPr>
            <w:tcW w:w="1188" w:type="dxa"/>
            <w:vAlign w:val="center"/>
          </w:tcPr>
          <w:p>
            <w:pPr>
              <w:jc w:val="center"/>
              <w:rPr>
                <w:rFonts w:ascii="仿宋_GB2312" w:eastAsia="仿宋_GB2312"/>
                <w:color w:val="000000" w:themeColor="text1"/>
                <w:sz w:val="24"/>
                <w:szCs w:val="24"/>
              </w:rPr>
            </w:pPr>
            <w:r>
              <w:rPr>
                <w:rFonts w:hint="eastAsia" w:ascii="仿宋_GB2312" w:hAnsi="宋体" w:eastAsia="仿宋_GB2312"/>
                <w:color w:val="000000" w:themeColor="text1"/>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56" w:type="dxa"/>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29</w:t>
            </w:r>
          </w:p>
        </w:tc>
        <w:tc>
          <w:tcPr>
            <w:tcW w:w="2832" w:type="dxa"/>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含绒量</w:t>
            </w:r>
          </w:p>
        </w:tc>
        <w:tc>
          <w:tcPr>
            <w:tcW w:w="1923" w:type="dxa"/>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相应产品标准</w:t>
            </w:r>
          </w:p>
        </w:tc>
        <w:tc>
          <w:tcPr>
            <w:tcW w:w="1130" w:type="dxa"/>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推荐性</w:t>
            </w:r>
          </w:p>
        </w:tc>
        <w:tc>
          <w:tcPr>
            <w:tcW w:w="1766" w:type="dxa"/>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相应产品标准</w:t>
            </w:r>
          </w:p>
        </w:tc>
        <w:tc>
          <w:tcPr>
            <w:tcW w:w="1188" w:type="dxa"/>
            <w:vAlign w:val="center"/>
          </w:tcPr>
          <w:p>
            <w:pPr>
              <w:jc w:val="center"/>
              <w:rPr>
                <w:rFonts w:ascii="仿宋_GB2312" w:eastAsia="仿宋_GB2312"/>
                <w:color w:val="000000" w:themeColor="text1"/>
                <w:sz w:val="24"/>
                <w:szCs w:val="24"/>
              </w:rPr>
            </w:pPr>
            <w:r>
              <w:rPr>
                <w:rFonts w:hint="eastAsia" w:ascii="仿宋_GB2312" w:hAnsi="宋体" w:eastAsia="仿宋_GB2312"/>
                <w:color w:val="000000" w:themeColor="text1"/>
                <w:sz w:val="24"/>
                <w:szCs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56" w:type="dxa"/>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30</w:t>
            </w:r>
          </w:p>
        </w:tc>
        <w:tc>
          <w:tcPr>
            <w:tcW w:w="2832" w:type="dxa"/>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充绒量</w:t>
            </w:r>
          </w:p>
        </w:tc>
        <w:tc>
          <w:tcPr>
            <w:tcW w:w="1923" w:type="dxa"/>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相应产品标准</w:t>
            </w:r>
          </w:p>
        </w:tc>
        <w:tc>
          <w:tcPr>
            <w:tcW w:w="1130" w:type="dxa"/>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推荐性</w:t>
            </w:r>
          </w:p>
        </w:tc>
        <w:tc>
          <w:tcPr>
            <w:tcW w:w="1766" w:type="dxa"/>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相应产品标准</w:t>
            </w:r>
          </w:p>
        </w:tc>
        <w:tc>
          <w:tcPr>
            <w:tcW w:w="1188" w:type="dxa"/>
            <w:vAlign w:val="center"/>
          </w:tcPr>
          <w:p>
            <w:pPr>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56" w:type="dxa"/>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31</w:t>
            </w:r>
          </w:p>
        </w:tc>
        <w:tc>
          <w:tcPr>
            <w:tcW w:w="2832" w:type="dxa"/>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绒子含量</w:t>
            </w:r>
          </w:p>
        </w:tc>
        <w:tc>
          <w:tcPr>
            <w:tcW w:w="1923" w:type="dxa"/>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相应产品标准</w:t>
            </w:r>
          </w:p>
        </w:tc>
        <w:tc>
          <w:tcPr>
            <w:tcW w:w="1130" w:type="dxa"/>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推荐性</w:t>
            </w:r>
          </w:p>
        </w:tc>
        <w:tc>
          <w:tcPr>
            <w:tcW w:w="1766" w:type="dxa"/>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相应产品标准</w:t>
            </w:r>
          </w:p>
        </w:tc>
        <w:tc>
          <w:tcPr>
            <w:tcW w:w="1188" w:type="dxa"/>
            <w:vAlign w:val="center"/>
          </w:tcPr>
          <w:p>
            <w:pPr>
              <w:jc w:val="center"/>
              <w:rPr>
                <w:rFonts w:ascii="仿宋_GB2312" w:eastAsia="仿宋_GB2312"/>
                <w:color w:val="000000" w:themeColor="text1"/>
                <w:sz w:val="24"/>
                <w:szCs w:val="24"/>
              </w:rPr>
            </w:pPr>
            <w:r>
              <w:rPr>
                <w:rFonts w:hint="eastAsia" w:ascii="仿宋_GB2312" w:hAnsi="宋体" w:eastAsia="仿宋_GB2312"/>
                <w:color w:val="000000" w:themeColor="text1"/>
                <w:sz w:val="24"/>
                <w:szCs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56" w:type="dxa"/>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32</w:t>
            </w:r>
          </w:p>
        </w:tc>
        <w:tc>
          <w:tcPr>
            <w:tcW w:w="2832" w:type="dxa"/>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羽绒种类</w:t>
            </w:r>
          </w:p>
        </w:tc>
        <w:tc>
          <w:tcPr>
            <w:tcW w:w="1923" w:type="dxa"/>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相应产品标准</w:t>
            </w:r>
          </w:p>
        </w:tc>
        <w:tc>
          <w:tcPr>
            <w:tcW w:w="1130" w:type="dxa"/>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推荐性</w:t>
            </w:r>
          </w:p>
        </w:tc>
        <w:tc>
          <w:tcPr>
            <w:tcW w:w="1766" w:type="dxa"/>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相应产品标准</w:t>
            </w:r>
          </w:p>
        </w:tc>
        <w:tc>
          <w:tcPr>
            <w:tcW w:w="1188" w:type="dxa"/>
            <w:vAlign w:val="center"/>
          </w:tcPr>
          <w:p>
            <w:pPr>
              <w:jc w:val="center"/>
              <w:rPr>
                <w:rFonts w:ascii="仿宋_GB2312" w:eastAsia="仿宋_GB2312"/>
                <w:color w:val="000000" w:themeColor="text1"/>
                <w:sz w:val="24"/>
                <w:szCs w:val="24"/>
              </w:rPr>
            </w:pPr>
            <w:r>
              <w:rPr>
                <w:rFonts w:hint="eastAsia" w:ascii="仿宋_GB2312" w:hAnsi="宋体" w:eastAsia="仿宋_GB2312"/>
                <w:color w:val="000000" w:themeColor="text1"/>
                <w:sz w:val="24"/>
                <w:szCs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56" w:type="dxa"/>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33</w:t>
            </w:r>
          </w:p>
        </w:tc>
        <w:tc>
          <w:tcPr>
            <w:tcW w:w="2832" w:type="dxa"/>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鸭毛（绒）含量</w:t>
            </w:r>
          </w:p>
        </w:tc>
        <w:tc>
          <w:tcPr>
            <w:tcW w:w="1923" w:type="dxa"/>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相应产品标准</w:t>
            </w:r>
          </w:p>
        </w:tc>
        <w:tc>
          <w:tcPr>
            <w:tcW w:w="1130" w:type="dxa"/>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推荐性</w:t>
            </w:r>
          </w:p>
        </w:tc>
        <w:tc>
          <w:tcPr>
            <w:tcW w:w="1766" w:type="dxa"/>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相应产品标准</w:t>
            </w:r>
          </w:p>
        </w:tc>
        <w:tc>
          <w:tcPr>
            <w:tcW w:w="1188" w:type="dxa"/>
            <w:vAlign w:val="center"/>
          </w:tcPr>
          <w:p>
            <w:pPr>
              <w:jc w:val="center"/>
              <w:rPr>
                <w:rFonts w:ascii="仿宋_GB2312" w:eastAsia="仿宋_GB2312"/>
                <w:color w:val="000000" w:themeColor="text1"/>
                <w:sz w:val="24"/>
                <w:szCs w:val="24"/>
              </w:rPr>
            </w:pPr>
            <w:r>
              <w:rPr>
                <w:rFonts w:hint="eastAsia" w:ascii="仿宋_GB2312" w:hAnsi="宋体" w:eastAsia="仿宋_GB2312"/>
                <w:color w:val="000000" w:themeColor="text1"/>
                <w:sz w:val="24"/>
                <w:szCs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56" w:type="dxa"/>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34</w:t>
            </w:r>
          </w:p>
        </w:tc>
        <w:tc>
          <w:tcPr>
            <w:tcW w:w="2832" w:type="dxa"/>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羽绒耗氧量</w:t>
            </w:r>
          </w:p>
        </w:tc>
        <w:tc>
          <w:tcPr>
            <w:tcW w:w="1923" w:type="dxa"/>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相应产品标准</w:t>
            </w:r>
          </w:p>
        </w:tc>
        <w:tc>
          <w:tcPr>
            <w:tcW w:w="1130" w:type="dxa"/>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推荐性</w:t>
            </w:r>
          </w:p>
        </w:tc>
        <w:tc>
          <w:tcPr>
            <w:tcW w:w="1766" w:type="dxa"/>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相应产品标准</w:t>
            </w:r>
          </w:p>
        </w:tc>
        <w:tc>
          <w:tcPr>
            <w:tcW w:w="1188" w:type="dxa"/>
            <w:vAlign w:val="center"/>
          </w:tcPr>
          <w:p>
            <w:pPr>
              <w:jc w:val="center"/>
              <w:rPr>
                <w:rFonts w:ascii="仿宋_GB2312" w:eastAsia="仿宋_GB2312"/>
                <w:color w:val="000000" w:themeColor="text1"/>
                <w:sz w:val="24"/>
                <w:szCs w:val="24"/>
              </w:rPr>
            </w:pPr>
            <w:r>
              <w:rPr>
                <w:rFonts w:hint="eastAsia" w:ascii="仿宋_GB2312" w:hAnsi="宋体" w:eastAsia="仿宋_GB2312"/>
                <w:color w:val="000000" w:themeColor="text1"/>
                <w:sz w:val="24"/>
                <w:szCs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56" w:type="dxa"/>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35</w:t>
            </w:r>
          </w:p>
        </w:tc>
        <w:tc>
          <w:tcPr>
            <w:tcW w:w="2832" w:type="dxa"/>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蓬松度</w:t>
            </w:r>
          </w:p>
        </w:tc>
        <w:tc>
          <w:tcPr>
            <w:tcW w:w="1923" w:type="dxa"/>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相应产品标准</w:t>
            </w:r>
          </w:p>
        </w:tc>
        <w:tc>
          <w:tcPr>
            <w:tcW w:w="1130" w:type="dxa"/>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推荐性</w:t>
            </w:r>
          </w:p>
        </w:tc>
        <w:tc>
          <w:tcPr>
            <w:tcW w:w="1766" w:type="dxa"/>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相应产品标准</w:t>
            </w:r>
          </w:p>
        </w:tc>
        <w:tc>
          <w:tcPr>
            <w:tcW w:w="1188" w:type="dxa"/>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56" w:type="dxa"/>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36</w:t>
            </w:r>
          </w:p>
        </w:tc>
        <w:tc>
          <w:tcPr>
            <w:tcW w:w="2832" w:type="dxa"/>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羽绒微生物</w:t>
            </w:r>
          </w:p>
        </w:tc>
        <w:tc>
          <w:tcPr>
            <w:tcW w:w="1923" w:type="dxa"/>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相应产品标准</w:t>
            </w:r>
          </w:p>
        </w:tc>
        <w:tc>
          <w:tcPr>
            <w:tcW w:w="1130" w:type="dxa"/>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推荐性</w:t>
            </w:r>
          </w:p>
        </w:tc>
        <w:tc>
          <w:tcPr>
            <w:tcW w:w="1766" w:type="dxa"/>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相应产品标准</w:t>
            </w:r>
          </w:p>
        </w:tc>
        <w:tc>
          <w:tcPr>
            <w:tcW w:w="1188" w:type="dxa"/>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不予复检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56" w:type="dxa"/>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37</w:t>
            </w:r>
          </w:p>
        </w:tc>
        <w:tc>
          <w:tcPr>
            <w:tcW w:w="2832" w:type="dxa"/>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耐海水色牢度</w:t>
            </w:r>
          </w:p>
        </w:tc>
        <w:tc>
          <w:tcPr>
            <w:tcW w:w="1923" w:type="dxa"/>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相应产品标准</w:t>
            </w:r>
          </w:p>
        </w:tc>
        <w:tc>
          <w:tcPr>
            <w:tcW w:w="1130" w:type="dxa"/>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推荐性</w:t>
            </w:r>
          </w:p>
        </w:tc>
        <w:tc>
          <w:tcPr>
            <w:tcW w:w="1766" w:type="dxa"/>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GB/T 5714</w:t>
            </w:r>
          </w:p>
        </w:tc>
        <w:tc>
          <w:tcPr>
            <w:tcW w:w="1188" w:type="dxa"/>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56" w:type="dxa"/>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38</w:t>
            </w:r>
          </w:p>
        </w:tc>
        <w:tc>
          <w:tcPr>
            <w:tcW w:w="2832" w:type="dxa"/>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耐氯化水（游泳池水）色牢度</w:t>
            </w:r>
          </w:p>
        </w:tc>
        <w:tc>
          <w:tcPr>
            <w:tcW w:w="1923" w:type="dxa"/>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相应产品标准</w:t>
            </w:r>
          </w:p>
        </w:tc>
        <w:tc>
          <w:tcPr>
            <w:tcW w:w="1130" w:type="dxa"/>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推荐性</w:t>
            </w:r>
          </w:p>
        </w:tc>
        <w:tc>
          <w:tcPr>
            <w:tcW w:w="1766" w:type="dxa"/>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GB/T 8433</w:t>
            </w:r>
          </w:p>
        </w:tc>
        <w:tc>
          <w:tcPr>
            <w:tcW w:w="1188" w:type="dxa"/>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56" w:type="dxa"/>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39</w:t>
            </w:r>
          </w:p>
        </w:tc>
        <w:tc>
          <w:tcPr>
            <w:tcW w:w="2832" w:type="dxa"/>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耐氯化水（游泳池水）拉伸弹性回复率</w:t>
            </w:r>
          </w:p>
        </w:tc>
        <w:tc>
          <w:tcPr>
            <w:tcW w:w="1923" w:type="dxa"/>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相应产品标准</w:t>
            </w:r>
          </w:p>
        </w:tc>
        <w:tc>
          <w:tcPr>
            <w:tcW w:w="1130" w:type="dxa"/>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推荐性</w:t>
            </w:r>
          </w:p>
        </w:tc>
        <w:tc>
          <w:tcPr>
            <w:tcW w:w="1766" w:type="dxa"/>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GB/T 8433</w:t>
            </w:r>
          </w:p>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FZ/T 70006</w:t>
            </w:r>
          </w:p>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相应产品标准</w:t>
            </w:r>
          </w:p>
        </w:tc>
        <w:tc>
          <w:tcPr>
            <w:tcW w:w="1188" w:type="dxa"/>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295" w:type="dxa"/>
            <w:gridSpan w:val="6"/>
            <w:vAlign w:val="center"/>
          </w:tcPr>
          <w:p>
            <w:pPr>
              <w:pStyle w:val="7"/>
              <w:snapToGrid w:val="0"/>
              <w:spacing w:beforeLines="25" w:afterLines="25"/>
              <w:jc w:val="left"/>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注1：对于原样复检的项目，如样本量不够时采用备样复检</w:t>
            </w:r>
          </w:p>
        </w:tc>
      </w:tr>
    </w:tbl>
    <w:p>
      <w:pPr>
        <w:snapToGrid w:val="0"/>
        <w:spacing w:line="360" w:lineRule="auto"/>
        <w:rPr>
          <w:rFonts w:ascii="仿宋_GB2312" w:hAnsi="宋体" w:eastAsia="仿宋_GB2312"/>
          <w:b/>
          <w:color w:val="000000" w:themeColor="text1"/>
          <w:sz w:val="28"/>
          <w:szCs w:val="28"/>
        </w:rPr>
      </w:pPr>
      <w:r>
        <w:rPr>
          <w:rFonts w:hint="eastAsia" w:ascii="仿宋_GB2312" w:hAnsi="宋体" w:eastAsia="仿宋_GB2312"/>
          <w:b/>
          <w:color w:val="000000" w:themeColor="text1"/>
          <w:sz w:val="28"/>
          <w:szCs w:val="28"/>
        </w:rPr>
        <w:t>（二）成人服装</w:t>
      </w:r>
    </w:p>
    <w:p>
      <w:pPr>
        <w:snapToGrid w:val="0"/>
        <w:spacing w:line="360" w:lineRule="auto"/>
        <w:jc w:val="center"/>
        <w:rPr>
          <w:rFonts w:ascii="黑体" w:hAnsi="宋体" w:eastAsia="黑体"/>
          <w:color w:val="000000" w:themeColor="text1"/>
          <w:sz w:val="28"/>
          <w:szCs w:val="28"/>
        </w:rPr>
      </w:pPr>
      <w:r>
        <w:rPr>
          <w:rFonts w:hint="eastAsia" w:ascii="黑体" w:hAnsi="宋体" w:eastAsia="黑体"/>
          <w:color w:val="000000" w:themeColor="text1"/>
          <w:sz w:val="28"/>
          <w:szCs w:val="28"/>
        </w:rPr>
        <w:t>表5成人服装检验项目、依据及方法等要求</w:t>
      </w:r>
    </w:p>
    <w:tbl>
      <w:tblPr>
        <w:tblStyle w:val="21"/>
        <w:tblW w:w="910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7"/>
        <w:gridCol w:w="2310"/>
        <w:gridCol w:w="1918"/>
        <w:gridCol w:w="1005"/>
        <w:gridCol w:w="1797"/>
        <w:gridCol w:w="16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2" w:hRule="atLeast"/>
          <w:tblHeader/>
          <w:jc w:val="center"/>
        </w:trPr>
        <w:tc>
          <w:tcPr>
            <w:tcW w:w="457" w:type="dxa"/>
            <w:vAlign w:val="center"/>
          </w:tcPr>
          <w:p>
            <w:pPr>
              <w:pStyle w:val="7"/>
              <w:snapToGrid w:val="0"/>
              <w:spacing w:beforeLines="25" w:afterLines="25"/>
              <w:jc w:val="center"/>
              <w:rPr>
                <w:rFonts w:ascii="黑体" w:hAnsi="宋体" w:eastAsia="黑体"/>
                <w:color w:val="000000" w:themeColor="text1"/>
                <w:sz w:val="24"/>
                <w:szCs w:val="24"/>
              </w:rPr>
            </w:pPr>
            <w:r>
              <w:rPr>
                <w:rFonts w:hint="eastAsia" w:ascii="黑体" w:hAnsi="宋体" w:eastAsia="黑体"/>
                <w:color w:val="000000" w:themeColor="text1"/>
                <w:sz w:val="24"/>
                <w:szCs w:val="24"/>
              </w:rPr>
              <w:t>序号</w:t>
            </w:r>
          </w:p>
        </w:tc>
        <w:tc>
          <w:tcPr>
            <w:tcW w:w="2310" w:type="dxa"/>
            <w:vAlign w:val="center"/>
          </w:tcPr>
          <w:p>
            <w:pPr>
              <w:pStyle w:val="7"/>
              <w:snapToGrid w:val="0"/>
              <w:spacing w:beforeLines="25" w:afterLines="25"/>
              <w:jc w:val="center"/>
              <w:rPr>
                <w:rFonts w:ascii="黑体" w:hAnsi="宋体" w:eastAsia="黑体"/>
                <w:color w:val="000000" w:themeColor="text1"/>
                <w:sz w:val="24"/>
                <w:szCs w:val="24"/>
              </w:rPr>
            </w:pPr>
            <w:r>
              <w:rPr>
                <w:rFonts w:hint="eastAsia" w:ascii="黑体" w:hAnsi="宋体" w:eastAsia="黑体"/>
                <w:color w:val="000000" w:themeColor="text1"/>
                <w:sz w:val="24"/>
                <w:szCs w:val="24"/>
              </w:rPr>
              <w:t>检验项目</w:t>
            </w:r>
          </w:p>
        </w:tc>
        <w:tc>
          <w:tcPr>
            <w:tcW w:w="1918" w:type="dxa"/>
            <w:vAlign w:val="center"/>
          </w:tcPr>
          <w:p>
            <w:pPr>
              <w:snapToGrid w:val="0"/>
              <w:spacing w:beforeLines="25" w:afterLines="25"/>
              <w:jc w:val="center"/>
              <w:rPr>
                <w:rFonts w:ascii="黑体" w:hAnsi="宋体" w:eastAsia="黑体"/>
                <w:color w:val="000000" w:themeColor="text1"/>
                <w:sz w:val="24"/>
                <w:szCs w:val="24"/>
              </w:rPr>
            </w:pPr>
            <w:r>
              <w:rPr>
                <w:rFonts w:hint="eastAsia" w:ascii="黑体" w:hAnsi="宋体" w:eastAsia="黑体"/>
                <w:color w:val="000000" w:themeColor="text1"/>
                <w:sz w:val="24"/>
                <w:szCs w:val="24"/>
              </w:rPr>
              <w:t>依据法律法规</w:t>
            </w:r>
          </w:p>
          <w:p>
            <w:pPr>
              <w:pStyle w:val="7"/>
              <w:snapToGrid w:val="0"/>
              <w:spacing w:beforeLines="25" w:afterLines="25"/>
              <w:jc w:val="center"/>
              <w:rPr>
                <w:rFonts w:ascii="黑体" w:hAnsi="宋体" w:eastAsia="黑体"/>
                <w:color w:val="000000" w:themeColor="text1"/>
                <w:sz w:val="24"/>
                <w:szCs w:val="24"/>
              </w:rPr>
            </w:pPr>
            <w:r>
              <w:rPr>
                <w:rFonts w:hint="eastAsia" w:ascii="黑体" w:hAnsi="宋体" w:eastAsia="黑体"/>
                <w:color w:val="000000" w:themeColor="text1"/>
                <w:sz w:val="24"/>
                <w:szCs w:val="24"/>
              </w:rPr>
              <w:t>或标准条款</w:t>
            </w:r>
          </w:p>
        </w:tc>
        <w:tc>
          <w:tcPr>
            <w:tcW w:w="1005" w:type="dxa"/>
            <w:vAlign w:val="center"/>
          </w:tcPr>
          <w:p>
            <w:pPr>
              <w:pStyle w:val="7"/>
              <w:snapToGrid w:val="0"/>
              <w:spacing w:beforeLines="25" w:afterLines="25"/>
              <w:jc w:val="center"/>
              <w:rPr>
                <w:rFonts w:ascii="黑体" w:hAnsi="宋体" w:eastAsia="黑体"/>
                <w:color w:val="000000" w:themeColor="text1"/>
                <w:sz w:val="24"/>
                <w:szCs w:val="24"/>
              </w:rPr>
            </w:pPr>
            <w:r>
              <w:rPr>
                <w:rFonts w:hint="eastAsia" w:ascii="黑体" w:hAnsi="宋体" w:eastAsia="黑体"/>
                <w:color w:val="000000" w:themeColor="text1"/>
                <w:sz w:val="24"/>
                <w:szCs w:val="24"/>
              </w:rPr>
              <w:t>强制/推荐性</w:t>
            </w:r>
          </w:p>
        </w:tc>
        <w:tc>
          <w:tcPr>
            <w:tcW w:w="1797" w:type="dxa"/>
            <w:vAlign w:val="center"/>
          </w:tcPr>
          <w:p>
            <w:pPr>
              <w:pStyle w:val="7"/>
              <w:snapToGrid w:val="0"/>
              <w:spacing w:beforeLines="25" w:afterLines="25"/>
              <w:jc w:val="center"/>
              <w:rPr>
                <w:rFonts w:ascii="黑体" w:hAnsi="宋体" w:eastAsia="黑体"/>
                <w:color w:val="000000" w:themeColor="text1"/>
                <w:sz w:val="24"/>
                <w:szCs w:val="24"/>
              </w:rPr>
            </w:pPr>
            <w:r>
              <w:rPr>
                <w:rFonts w:hint="eastAsia" w:ascii="黑体" w:hAnsi="宋体" w:eastAsia="黑体"/>
                <w:color w:val="000000" w:themeColor="text1"/>
                <w:sz w:val="24"/>
                <w:szCs w:val="24"/>
              </w:rPr>
              <w:t>检测方法</w:t>
            </w:r>
          </w:p>
        </w:tc>
        <w:tc>
          <w:tcPr>
            <w:tcW w:w="1617" w:type="dxa"/>
            <w:vAlign w:val="center"/>
          </w:tcPr>
          <w:p>
            <w:pPr>
              <w:pStyle w:val="7"/>
              <w:snapToGrid w:val="0"/>
              <w:spacing w:beforeLines="25" w:afterLines="25"/>
              <w:jc w:val="center"/>
              <w:rPr>
                <w:rFonts w:ascii="黑体" w:hAnsi="宋体" w:eastAsia="黑体"/>
                <w:color w:val="000000" w:themeColor="text1"/>
                <w:sz w:val="24"/>
                <w:szCs w:val="24"/>
              </w:rPr>
            </w:pPr>
            <w:r>
              <w:rPr>
                <w:rFonts w:hint="eastAsia" w:ascii="黑体" w:hAnsi="宋体" w:eastAsia="黑体"/>
                <w:color w:val="000000" w:themeColor="text1"/>
                <w:sz w:val="24"/>
                <w:szCs w:val="24"/>
              </w:rPr>
              <w:t>复检样品</w:t>
            </w:r>
          </w:p>
          <w:p>
            <w:pPr>
              <w:pStyle w:val="7"/>
              <w:snapToGrid w:val="0"/>
              <w:spacing w:beforeLines="25" w:afterLines="25"/>
              <w:jc w:val="center"/>
              <w:rPr>
                <w:rFonts w:ascii="黑体" w:hAnsi="宋体" w:eastAsia="黑体"/>
                <w:color w:val="000000" w:themeColor="text1"/>
                <w:sz w:val="24"/>
                <w:szCs w:val="24"/>
              </w:rPr>
            </w:pPr>
            <w:r>
              <w:rPr>
                <w:rFonts w:hint="eastAsia" w:ascii="黑体" w:hAnsi="宋体" w:eastAsia="黑体"/>
                <w:color w:val="000000" w:themeColor="text1"/>
                <w:sz w:val="24"/>
                <w:szCs w:val="24"/>
              </w:rPr>
              <w:t>[注1]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57" w:type="dxa"/>
            <w:vMerge w:val="restart"/>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1</w:t>
            </w:r>
          </w:p>
        </w:tc>
        <w:tc>
          <w:tcPr>
            <w:tcW w:w="2310" w:type="dxa"/>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甲醛含量</w:t>
            </w:r>
          </w:p>
        </w:tc>
        <w:tc>
          <w:tcPr>
            <w:tcW w:w="1918" w:type="dxa"/>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GB 18401 5.1</w:t>
            </w:r>
          </w:p>
        </w:tc>
        <w:tc>
          <w:tcPr>
            <w:tcW w:w="1005" w:type="dxa"/>
            <w:vMerge w:val="restart"/>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强制性</w:t>
            </w:r>
          </w:p>
        </w:tc>
        <w:tc>
          <w:tcPr>
            <w:tcW w:w="1797" w:type="dxa"/>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GB/T 2912.1</w:t>
            </w:r>
          </w:p>
        </w:tc>
        <w:tc>
          <w:tcPr>
            <w:tcW w:w="1617" w:type="dxa"/>
            <w:vMerge w:val="restart"/>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57" w:type="dxa"/>
            <w:vMerge w:val="continue"/>
            <w:vAlign w:val="center"/>
          </w:tcPr>
          <w:p>
            <w:pPr>
              <w:pStyle w:val="7"/>
              <w:snapToGrid w:val="0"/>
              <w:spacing w:beforeLines="25" w:afterLines="25"/>
              <w:jc w:val="center"/>
              <w:rPr>
                <w:rFonts w:ascii="仿宋_GB2312" w:hAnsi="宋体" w:eastAsia="仿宋_GB2312"/>
                <w:color w:val="000000" w:themeColor="text1"/>
                <w:sz w:val="24"/>
                <w:szCs w:val="24"/>
              </w:rPr>
            </w:pPr>
          </w:p>
        </w:tc>
        <w:tc>
          <w:tcPr>
            <w:tcW w:w="2310" w:type="dxa"/>
            <w:vAlign w:val="center"/>
          </w:tcPr>
          <w:p>
            <w:pPr>
              <w:pStyle w:val="7"/>
              <w:snapToGrid w:val="0"/>
              <w:spacing w:beforeLines="25" w:afterLines="25"/>
              <w:jc w:val="center"/>
              <w:rPr>
                <w:rFonts w:ascii="仿宋_GB2312" w:hAnsi="宋体" w:eastAsia="仿宋_GB2312"/>
                <w:sz w:val="24"/>
                <w:szCs w:val="24"/>
              </w:rPr>
            </w:pPr>
            <w:r>
              <w:rPr>
                <w:rFonts w:hint="eastAsia" w:ascii="仿宋_GB2312" w:hAnsi="宋体" w:eastAsia="仿宋_GB2312"/>
                <w:sz w:val="24"/>
                <w:szCs w:val="24"/>
              </w:rPr>
              <w:t>游离甲醛</w:t>
            </w:r>
          </w:p>
        </w:tc>
        <w:tc>
          <w:tcPr>
            <w:tcW w:w="1918" w:type="dxa"/>
            <w:vAlign w:val="center"/>
          </w:tcPr>
          <w:p>
            <w:pPr>
              <w:pStyle w:val="7"/>
              <w:snapToGrid w:val="0"/>
              <w:spacing w:beforeLines="25" w:afterLines="25"/>
              <w:jc w:val="center"/>
              <w:rPr>
                <w:rFonts w:ascii="仿宋_GB2312" w:hAnsi="宋体" w:eastAsia="仿宋_GB2312"/>
                <w:sz w:val="24"/>
                <w:szCs w:val="24"/>
              </w:rPr>
            </w:pPr>
            <w:r>
              <w:rPr>
                <w:rFonts w:hint="eastAsia" w:ascii="仿宋_GB2312" w:hAnsi="宋体" w:eastAsia="仿宋_GB2312"/>
                <w:sz w:val="24"/>
                <w:szCs w:val="24"/>
              </w:rPr>
              <w:t>GB 20400 5</w:t>
            </w:r>
          </w:p>
        </w:tc>
        <w:tc>
          <w:tcPr>
            <w:tcW w:w="1005" w:type="dxa"/>
            <w:vMerge w:val="continue"/>
            <w:vAlign w:val="center"/>
          </w:tcPr>
          <w:p>
            <w:pPr>
              <w:pStyle w:val="7"/>
              <w:snapToGrid w:val="0"/>
              <w:spacing w:beforeLines="25" w:afterLines="25"/>
              <w:jc w:val="center"/>
              <w:rPr>
                <w:rFonts w:ascii="仿宋_GB2312" w:hAnsi="宋体" w:eastAsia="仿宋_GB2312"/>
                <w:sz w:val="24"/>
                <w:szCs w:val="24"/>
              </w:rPr>
            </w:pPr>
          </w:p>
        </w:tc>
        <w:tc>
          <w:tcPr>
            <w:tcW w:w="1797" w:type="dxa"/>
            <w:vAlign w:val="center"/>
          </w:tcPr>
          <w:p>
            <w:pPr>
              <w:pStyle w:val="7"/>
              <w:snapToGrid w:val="0"/>
              <w:spacing w:beforeLines="25" w:afterLines="25"/>
              <w:jc w:val="center"/>
              <w:rPr>
                <w:rFonts w:ascii="仿宋_GB2312" w:hAnsi="宋体" w:eastAsia="仿宋_GB2312"/>
                <w:sz w:val="24"/>
                <w:szCs w:val="24"/>
              </w:rPr>
            </w:pPr>
            <w:r>
              <w:rPr>
                <w:rFonts w:hint="eastAsia" w:ascii="仿宋_GB2312" w:hAnsi="宋体" w:eastAsia="仿宋_GB2312"/>
                <w:sz w:val="24"/>
                <w:szCs w:val="24"/>
              </w:rPr>
              <w:t>GB/T 19941</w:t>
            </w:r>
          </w:p>
        </w:tc>
        <w:tc>
          <w:tcPr>
            <w:tcW w:w="1617" w:type="dxa"/>
            <w:vMerge w:val="continue"/>
            <w:vAlign w:val="center"/>
          </w:tcPr>
          <w:p>
            <w:pPr>
              <w:pStyle w:val="7"/>
              <w:snapToGrid w:val="0"/>
              <w:spacing w:beforeLines="25" w:afterLines="25"/>
              <w:jc w:val="center"/>
              <w:rPr>
                <w:rFonts w:ascii="仿宋_GB2312" w:hAnsi="宋体" w:eastAsia="仿宋_GB2312"/>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57" w:type="dxa"/>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2</w:t>
            </w:r>
          </w:p>
        </w:tc>
        <w:tc>
          <w:tcPr>
            <w:tcW w:w="2310" w:type="dxa"/>
            <w:vAlign w:val="center"/>
          </w:tcPr>
          <w:p>
            <w:pPr>
              <w:pStyle w:val="7"/>
              <w:snapToGrid w:val="0"/>
              <w:spacing w:beforeLines="25" w:afterLines="25"/>
              <w:jc w:val="center"/>
              <w:rPr>
                <w:rFonts w:ascii="仿宋_GB2312" w:hAnsi="宋体" w:eastAsia="仿宋_GB2312"/>
                <w:sz w:val="24"/>
                <w:szCs w:val="24"/>
              </w:rPr>
            </w:pPr>
            <w:r>
              <w:rPr>
                <w:rFonts w:hint="eastAsia" w:ascii="仿宋_GB2312" w:hAnsi="宋体" w:eastAsia="仿宋_GB2312"/>
                <w:sz w:val="24"/>
                <w:szCs w:val="24"/>
              </w:rPr>
              <w:t>pH值</w:t>
            </w:r>
          </w:p>
        </w:tc>
        <w:tc>
          <w:tcPr>
            <w:tcW w:w="1918" w:type="dxa"/>
            <w:vAlign w:val="center"/>
          </w:tcPr>
          <w:p>
            <w:pPr>
              <w:pStyle w:val="7"/>
              <w:snapToGrid w:val="0"/>
              <w:spacing w:beforeLines="25" w:afterLines="25"/>
              <w:jc w:val="center"/>
              <w:rPr>
                <w:rFonts w:ascii="仿宋_GB2312" w:hAnsi="宋体" w:eastAsia="仿宋_GB2312"/>
                <w:sz w:val="24"/>
                <w:szCs w:val="24"/>
              </w:rPr>
            </w:pPr>
            <w:r>
              <w:rPr>
                <w:rFonts w:hint="eastAsia" w:ascii="仿宋_GB2312" w:hAnsi="宋体" w:eastAsia="仿宋_GB2312"/>
                <w:sz w:val="24"/>
                <w:szCs w:val="24"/>
              </w:rPr>
              <w:t>GB 18401 5.1</w:t>
            </w:r>
          </w:p>
        </w:tc>
        <w:tc>
          <w:tcPr>
            <w:tcW w:w="1005" w:type="dxa"/>
            <w:vAlign w:val="center"/>
          </w:tcPr>
          <w:p>
            <w:pPr>
              <w:pStyle w:val="7"/>
              <w:snapToGrid w:val="0"/>
              <w:spacing w:beforeLines="25" w:afterLines="25"/>
              <w:jc w:val="center"/>
              <w:rPr>
                <w:rFonts w:ascii="仿宋_GB2312" w:hAnsi="宋体" w:eastAsia="仿宋_GB2312"/>
                <w:sz w:val="24"/>
                <w:szCs w:val="24"/>
              </w:rPr>
            </w:pPr>
            <w:r>
              <w:rPr>
                <w:rFonts w:hint="eastAsia" w:ascii="仿宋_GB2312" w:hAnsi="宋体" w:eastAsia="仿宋_GB2312"/>
                <w:sz w:val="24"/>
                <w:szCs w:val="24"/>
              </w:rPr>
              <w:t>强制性</w:t>
            </w:r>
          </w:p>
        </w:tc>
        <w:tc>
          <w:tcPr>
            <w:tcW w:w="1797" w:type="dxa"/>
            <w:vAlign w:val="center"/>
          </w:tcPr>
          <w:p>
            <w:pPr>
              <w:pStyle w:val="7"/>
              <w:snapToGrid w:val="0"/>
              <w:spacing w:beforeLines="25" w:afterLines="25"/>
              <w:jc w:val="center"/>
              <w:rPr>
                <w:rFonts w:ascii="仿宋_GB2312" w:hAnsi="宋体" w:eastAsia="仿宋_GB2312"/>
                <w:sz w:val="24"/>
                <w:szCs w:val="24"/>
              </w:rPr>
            </w:pPr>
            <w:r>
              <w:rPr>
                <w:rFonts w:hint="eastAsia" w:ascii="仿宋_GB2312" w:hAnsi="宋体" w:eastAsia="仿宋_GB2312"/>
                <w:sz w:val="24"/>
                <w:szCs w:val="24"/>
              </w:rPr>
              <w:t>GB/T 7573</w:t>
            </w:r>
          </w:p>
        </w:tc>
        <w:tc>
          <w:tcPr>
            <w:tcW w:w="1617" w:type="dxa"/>
            <w:vAlign w:val="center"/>
          </w:tcPr>
          <w:p>
            <w:pPr>
              <w:jc w:val="center"/>
              <w:rPr>
                <w:rFonts w:ascii="仿宋_GB2312" w:eastAsia="仿宋_GB2312"/>
                <w:color w:val="000000" w:themeColor="text1"/>
                <w:sz w:val="24"/>
                <w:szCs w:val="24"/>
              </w:rPr>
            </w:pPr>
            <w:r>
              <w:rPr>
                <w:rFonts w:hint="eastAsia" w:ascii="仿宋_GB2312" w:hAnsi="宋体" w:eastAsia="仿宋_GB2312"/>
                <w:color w:val="000000" w:themeColor="text1"/>
                <w:sz w:val="24"/>
                <w:szCs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57" w:type="dxa"/>
            <w:vMerge w:val="restart"/>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3</w:t>
            </w:r>
          </w:p>
        </w:tc>
        <w:tc>
          <w:tcPr>
            <w:tcW w:w="2310" w:type="dxa"/>
            <w:vAlign w:val="center"/>
          </w:tcPr>
          <w:p>
            <w:pPr>
              <w:pStyle w:val="7"/>
              <w:snapToGrid w:val="0"/>
              <w:spacing w:beforeLines="25" w:afterLines="25"/>
              <w:jc w:val="center"/>
              <w:rPr>
                <w:rFonts w:ascii="仿宋_GB2312" w:hAnsi="宋体" w:eastAsia="仿宋_GB2312"/>
                <w:sz w:val="24"/>
                <w:szCs w:val="24"/>
              </w:rPr>
            </w:pPr>
            <w:r>
              <w:rPr>
                <w:rFonts w:hint="eastAsia" w:ascii="仿宋_GB2312" w:hAnsi="宋体" w:eastAsia="仿宋_GB2312"/>
                <w:sz w:val="24"/>
                <w:szCs w:val="24"/>
              </w:rPr>
              <w:t>可分解致癌芳香胺染料</w:t>
            </w:r>
          </w:p>
        </w:tc>
        <w:tc>
          <w:tcPr>
            <w:tcW w:w="1918" w:type="dxa"/>
            <w:vAlign w:val="center"/>
          </w:tcPr>
          <w:p>
            <w:pPr>
              <w:pStyle w:val="7"/>
              <w:snapToGrid w:val="0"/>
              <w:spacing w:beforeLines="25" w:afterLines="25"/>
              <w:jc w:val="center"/>
              <w:rPr>
                <w:rFonts w:ascii="仿宋_GB2312" w:hAnsi="宋体" w:eastAsia="仿宋_GB2312"/>
                <w:sz w:val="24"/>
                <w:szCs w:val="24"/>
              </w:rPr>
            </w:pPr>
            <w:r>
              <w:rPr>
                <w:rFonts w:hint="eastAsia" w:ascii="仿宋_GB2312" w:hAnsi="宋体" w:eastAsia="仿宋_GB2312"/>
                <w:sz w:val="24"/>
                <w:szCs w:val="24"/>
              </w:rPr>
              <w:t>GB 18401 5.1</w:t>
            </w:r>
          </w:p>
        </w:tc>
        <w:tc>
          <w:tcPr>
            <w:tcW w:w="1005" w:type="dxa"/>
            <w:vMerge w:val="restart"/>
            <w:vAlign w:val="center"/>
          </w:tcPr>
          <w:p>
            <w:pPr>
              <w:pStyle w:val="7"/>
              <w:snapToGrid w:val="0"/>
              <w:spacing w:beforeLines="25" w:afterLines="25"/>
              <w:jc w:val="center"/>
              <w:rPr>
                <w:rFonts w:ascii="仿宋_GB2312" w:hAnsi="宋体" w:eastAsia="仿宋_GB2312"/>
                <w:sz w:val="24"/>
                <w:szCs w:val="24"/>
              </w:rPr>
            </w:pPr>
            <w:r>
              <w:rPr>
                <w:rFonts w:hint="eastAsia" w:ascii="仿宋_GB2312" w:hAnsi="宋体" w:eastAsia="仿宋_GB2312"/>
                <w:sz w:val="24"/>
                <w:szCs w:val="24"/>
              </w:rPr>
              <w:t>强制性</w:t>
            </w:r>
          </w:p>
        </w:tc>
        <w:tc>
          <w:tcPr>
            <w:tcW w:w="1797" w:type="dxa"/>
            <w:vAlign w:val="center"/>
          </w:tcPr>
          <w:p>
            <w:pPr>
              <w:pStyle w:val="7"/>
              <w:snapToGrid w:val="0"/>
              <w:spacing w:beforeLines="25" w:afterLines="25"/>
              <w:jc w:val="center"/>
              <w:rPr>
                <w:rFonts w:ascii="仿宋_GB2312" w:hAnsi="宋体" w:eastAsia="仿宋_GB2312"/>
                <w:sz w:val="24"/>
                <w:szCs w:val="24"/>
              </w:rPr>
            </w:pPr>
            <w:r>
              <w:rPr>
                <w:rFonts w:hint="eastAsia" w:ascii="仿宋_GB2312" w:hAnsi="宋体" w:eastAsia="仿宋_GB2312"/>
                <w:sz w:val="24"/>
                <w:szCs w:val="24"/>
              </w:rPr>
              <w:t>GB/T 17592</w:t>
            </w:r>
          </w:p>
          <w:p>
            <w:pPr>
              <w:pStyle w:val="7"/>
              <w:snapToGrid w:val="0"/>
              <w:spacing w:beforeLines="25" w:afterLines="25"/>
              <w:jc w:val="center"/>
              <w:rPr>
                <w:rFonts w:ascii="仿宋_GB2312" w:hAnsi="宋体" w:eastAsia="仿宋_GB2312"/>
                <w:sz w:val="24"/>
                <w:szCs w:val="24"/>
              </w:rPr>
            </w:pPr>
            <w:r>
              <w:rPr>
                <w:rFonts w:hint="eastAsia" w:ascii="仿宋_GB2312" w:hAnsi="宋体" w:eastAsia="仿宋_GB2312"/>
                <w:sz w:val="24"/>
                <w:szCs w:val="24"/>
              </w:rPr>
              <w:t>GB/T 23344</w:t>
            </w:r>
          </w:p>
        </w:tc>
        <w:tc>
          <w:tcPr>
            <w:tcW w:w="1617" w:type="dxa"/>
            <w:vMerge w:val="restart"/>
            <w:vAlign w:val="center"/>
          </w:tcPr>
          <w:p>
            <w:pPr>
              <w:jc w:val="center"/>
              <w:rPr>
                <w:rFonts w:ascii="仿宋_GB2312" w:eastAsia="仿宋_GB2312"/>
                <w:color w:val="000000" w:themeColor="text1"/>
                <w:sz w:val="24"/>
                <w:szCs w:val="24"/>
              </w:rPr>
            </w:pPr>
            <w:r>
              <w:rPr>
                <w:rFonts w:hint="eastAsia" w:ascii="仿宋_GB2312" w:hAnsi="宋体" w:eastAsia="仿宋_GB2312"/>
                <w:color w:val="000000" w:themeColor="text1"/>
                <w:sz w:val="24"/>
                <w:szCs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57" w:type="dxa"/>
            <w:vMerge w:val="continue"/>
            <w:vAlign w:val="center"/>
          </w:tcPr>
          <w:p>
            <w:pPr>
              <w:pStyle w:val="7"/>
              <w:snapToGrid w:val="0"/>
              <w:spacing w:beforeLines="25" w:afterLines="25"/>
              <w:jc w:val="center"/>
              <w:rPr>
                <w:rFonts w:ascii="仿宋_GB2312" w:hAnsi="宋体" w:eastAsia="仿宋_GB2312"/>
                <w:color w:val="000000" w:themeColor="text1"/>
                <w:sz w:val="24"/>
                <w:szCs w:val="24"/>
              </w:rPr>
            </w:pPr>
          </w:p>
        </w:tc>
        <w:tc>
          <w:tcPr>
            <w:tcW w:w="2310" w:type="dxa"/>
            <w:vAlign w:val="center"/>
          </w:tcPr>
          <w:p>
            <w:pPr>
              <w:pStyle w:val="7"/>
              <w:snapToGrid w:val="0"/>
              <w:spacing w:beforeLines="25" w:afterLines="25"/>
              <w:jc w:val="center"/>
              <w:rPr>
                <w:rFonts w:ascii="仿宋_GB2312" w:hAnsi="宋体" w:eastAsia="仿宋_GB2312"/>
                <w:sz w:val="24"/>
                <w:szCs w:val="24"/>
              </w:rPr>
            </w:pPr>
            <w:r>
              <w:rPr>
                <w:rFonts w:hint="eastAsia" w:ascii="仿宋_GB2312" w:hAnsi="宋体" w:eastAsia="仿宋_GB2312"/>
                <w:sz w:val="24"/>
                <w:szCs w:val="24"/>
              </w:rPr>
              <w:t>可分解有害芳香胺染料</w:t>
            </w:r>
          </w:p>
        </w:tc>
        <w:tc>
          <w:tcPr>
            <w:tcW w:w="1918" w:type="dxa"/>
            <w:vAlign w:val="center"/>
          </w:tcPr>
          <w:p>
            <w:pPr>
              <w:pStyle w:val="7"/>
              <w:snapToGrid w:val="0"/>
              <w:spacing w:beforeLines="25" w:afterLines="25"/>
              <w:jc w:val="center"/>
              <w:rPr>
                <w:rFonts w:ascii="仿宋_GB2312" w:hAnsi="宋体" w:eastAsia="仿宋_GB2312"/>
                <w:sz w:val="24"/>
                <w:szCs w:val="24"/>
              </w:rPr>
            </w:pPr>
            <w:r>
              <w:rPr>
                <w:rFonts w:hint="eastAsia" w:ascii="仿宋_GB2312" w:hAnsi="宋体" w:eastAsia="仿宋_GB2312"/>
                <w:sz w:val="24"/>
                <w:szCs w:val="24"/>
              </w:rPr>
              <w:t>GB 20400 5</w:t>
            </w:r>
          </w:p>
        </w:tc>
        <w:tc>
          <w:tcPr>
            <w:tcW w:w="1005" w:type="dxa"/>
            <w:vMerge w:val="continue"/>
            <w:vAlign w:val="center"/>
          </w:tcPr>
          <w:p>
            <w:pPr>
              <w:pStyle w:val="7"/>
              <w:snapToGrid w:val="0"/>
              <w:spacing w:beforeLines="25" w:afterLines="25"/>
              <w:jc w:val="center"/>
              <w:rPr>
                <w:rFonts w:ascii="仿宋_GB2312" w:hAnsi="宋体" w:eastAsia="仿宋_GB2312"/>
                <w:sz w:val="24"/>
                <w:szCs w:val="24"/>
              </w:rPr>
            </w:pPr>
          </w:p>
        </w:tc>
        <w:tc>
          <w:tcPr>
            <w:tcW w:w="1797" w:type="dxa"/>
            <w:vAlign w:val="center"/>
          </w:tcPr>
          <w:p>
            <w:pPr>
              <w:pStyle w:val="7"/>
              <w:snapToGrid w:val="0"/>
              <w:spacing w:beforeLines="25" w:afterLines="25"/>
              <w:jc w:val="center"/>
              <w:rPr>
                <w:rFonts w:ascii="仿宋_GB2312" w:hAnsi="宋体" w:eastAsia="仿宋_GB2312"/>
                <w:sz w:val="24"/>
                <w:szCs w:val="24"/>
              </w:rPr>
            </w:pPr>
            <w:r>
              <w:rPr>
                <w:rFonts w:hint="eastAsia" w:ascii="仿宋_GB2312" w:hAnsi="宋体" w:eastAsia="仿宋_GB2312"/>
                <w:sz w:val="24"/>
                <w:szCs w:val="24"/>
              </w:rPr>
              <w:t>GB/T 19942</w:t>
            </w:r>
          </w:p>
        </w:tc>
        <w:tc>
          <w:tcPr>
            <w:tcW w:w="1617" w:type="dxa"/>
            <w:vMerge w:val="continue"/>
            <w:vAlign w:val="center"/>
          </w:tcPr>
          <w:p>
            <w:pPr>
              <w:jc w:val="center"/>
              <w:rPr>
                <w:rFonts w:ascii="仿宋_GB2312" w:hAnsi="宋体" w:eastAsia="仿宋_GB2312"/>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57" w:type="dxa"/>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4</w:t>
            </w:r>
          </w:p>
        </w:tc>
        <w:tc>
          <w:tcPr>
            <w:tcW w:w="2310" w:type="dxa"/>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异味</w:t>
            </w:r>
          </w:p>
        </w:tc>
        <w:tc>
          <w:tcPr>
            <w:tcW w:w="1918" w:type="dxa"/>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GB 18401 5.1</w:t>
            </w:r>
          </w:p>
        </w:tc>
        <w:tc>
          <w:tcPr>
            <w:tcW w:w="1005" w:type="dxa"/>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强制性</w:t>
            </w:r>
          </w:p>
        </w:tc>
        <w:tc>
          <w:tcPr>
            <w:tcW w:w="1797" w:type="dxa"/>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GB 18401</w:t>
            </w:r>
          </w:p>
        </w:tc>
        <w:tc>
          <w:tcPr>
            <w:tcW w:w="1617" w:type="dxa"/>
            <w:vAlign w:val="center"/>
          </w:tcPr>
          <w:p>
            <w:pPr>
              <w:jc w:val="center"/>
              <w:rPr>
                <w:rFonts w:ascii="仿宋_GB2312" w:eastAsia="仿宋_GB2312"/>
                <w:color w:val="000000" w:themeColor="text1"/>
                <w:sz w:val="24"/>
                <w:szCs w:val="24"/>
              </w:rPr>
            </w:pPr>
            <w:r>
              <w:rPr>
                <w:rFonts w:hint="eastAsia" w:ascii="仿宋_GB2312" w:hAnsi="宋体" w:eastAsia="仿宋_GB2312"/>
                <w:color w:val="000000" w:themeColor="text1"/>
                <w:sz w:val="24"/>
                <w:szCs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57" w:type="dxa"/>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5</w:t>
            </w:r>
          </w:p>
        </w:tc>
        <w:tc>
          <w:tcPr>
            <w:tcW w:w="2310" w:type="dxa"/>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耐水色牢度</w:t>
            </w:r>
          </w:p>
        </w:tc>
        <w:tc>
          <w:tcPr>
            <w:tcW w:w="1918" w:type="dxa"/>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GB 18401 5.1</w:t>
            </w:r>
          </w:p>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相应产品标准</w:t>
            </w:r>
          </w:p>
        </w:tc>
        <w:tc>
          <w:tcPr>
            <w:tcW w:w="1005" w:type="dxa"/>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强制性</w:t>
            </w:r>
          </w:p>
        </w:tc>
        <w:tc>
          <w:tcPr>
            <w:tcW w:w="1797" w:type="dxa"/>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GB/T 5713</w:t>
            </w:r>
          </w:p>
        </w:tc>
        <w:tc>
          <w:tcPr>
            <w:tcW w:w="1617" w:type="dxa"/>
            <w:vAlign w:val="center"/>
          </w:tcPr>
          <w:p>
            <w:pPr>
              <w:jc w:val="center"/>
              <w:rPr>
                <w:rFonts w:ascii="仿宋_GB2312" w:eastAsia="仿宋_GB2312"/>
                <w:color w:val="000000" w:themeColor="text1"/>
                <w:sz w:val="24"/>
                <w:szCs w:val="24"/>
              </w:rPr>
            </w:pPr>
            <w:r>
              <w:rPr>
                <w:rFonts w:hint="eastAsia" w:ascii="仿宋_GB2312" w:hAnsi="宋体" w:eastAsia="仿宋_GB2312"/>
                <w:color w:val="000000" w:themeColor="text1"/>
                <w:sz w:val="24"/>
                <w:szCs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57" w:type="dxa"/>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6</w:t>
            </w:r>
          </w:p>
        </w:tc>
        <w:tc>
          <w:tcPr>
            <w:tcW w:w="2310" w:type="dxa"/>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耐酸汗渍色牢度</w:t>
            </w:r>
          </w:p>
        </w:tc>
        <w:tc>
          <w:tcPr>
            <w:tcW w:w="1918" w:type="dxa"/>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GB 18401 5.1</w:t>
            </w:r>
          </w:p>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相应产品标准</w:t>
            </w:r>
          </w:p>
        </w:tc>
        <w:tc>
          <w:tcPr>
            <w:tcW w:w="1005" w:type="dxa"/>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强制性</w:t>
            </w:r>
          </w:p>
        </w:tc>
        <w:tc>
          <w:tcPr>
            <w:tcW w:w="1797" w:type="dxa"/>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GB/T 3922</w:t>
            </w:r>
          </w:p>
        </w:tc>
        <w:tc>
          <w:tcPr>
            <w:tcW w:w="1617" w:type="dxa"/>
            <w:vAlign w:val="center"/>
          </w:tcPr>
          <w:p>
            <w:pPr>
              <w:jc w:val="center"/>
              <w:rPr>
                <w:rFonts w:ascii="仿宋_GB2312" w:eastAsia="仿宋_GB2312"/>
                <w:color w:val="000000" w:themeColor="text1"/>
                <w:sz w:val="24"/>
                <w:szCs w:val="24"/>
              </w:rPr>
            </w:pPr>
            <w:r>
              <w:rPr>
                <w:rFonts w:hint="eastAsia" w:ascii="仿宋_GB2312" w:hAnsi="宋体" w:eastAsia="仿宋_GB2312"/>
                <w:color w:val="000000" w:themeColor="text1"/>
                <w:sz w:val="24"/>
                <w:szCs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57" w:type="dxa"/>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7</w:t>
            </w:r>
          </w:p>
        </w:tc>
        <w:tc>
          <w:tcPr>
            <w:tcW w:w="2310" w:type="dxa"/>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耐碱汗渍色牢度</w:t>
            </w:r>
          </w:p>
        </w:tc>
        <w:tc>
          <w:tcPr>
            <w:tcW w:w="1918" w:type="dxa"/>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GB 18401 5.1</w:t>
            </w:r>
          </w:p>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相应产品标准</w:t>
            </w:r>
          </w:p>
        </w:tc>
        <w:tc>
          <w:tcPr>
            <w:tcW w:w="1005" w:type="dxa"/>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强制性</w:t>
            </w:r>
          </w:p>
        </w:tc>
        <w:tc>
          <w:tcPr>
            <w:tcW w:w="1797" w:type="dxa"/>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GB/T 3922</w:t>
            </w:r>
          </w:p>
        </w:tc>
        <w:tc>
          <w:tcPr>
            <w:tcW w:w="1617" w:type="dxa"/>
            <w:vAlign w:val="center"/>
          </w:tcPr>
          <w:p>
            <w:pPr>
              <w:jc w:val="center"/>
              <w:rPr>
                <w:rFonts w:ascii="仿宋_GB2312" w:eastAsia="仿宋_GB2312"/>
                <w:color w:val="000000" w:themeColor="text1"/>
                <w:sz w:val="24"/>
                <w:szCs w:val="24"/>
              </w:rPr>
            </w:pPr>
            <w:r>
              <w:rPr>
                <w:rFonts w:hint="eastAsia" w:ascii="仿宋_GB2312" w:hAnsi="宋体" w:eastAsia="仿宋_GB2312"/>
                <w:color w:val="000000" w:themeColor="text1"/>
                <w:sz w:val="24"/>
                <w:szCs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57" w:type="dxa"/>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8</w:t>
            </w:r>
          </w:p>
        </w:tc>
        <w:tc>
          <w:tcPr>
            <w:tcW w:w="2310" w:type="dxa"/>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耐干摩擦色牢度</w:t>
            </w:r>
          </w:p>
        </w:tc>
        <w:tc>
          <w:tcPr>
            <w:tcW w:w="1918" w:type="dxa"/>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GB 18401 5.1</w:t>
            </w:r>
          </w:p>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相应产品标准</w:t>
            </w:r>
          </w:p>
        </w:tc>
        <w:tc>
          <w:tcPr>
            <w:tcW w:w="1005" w:type="dxa"/>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强制性</w:t>
            </w:r>
          </w:p>
        </w:tc>
        <w:tc>
          <w:tcPr>
            <w:tcW w:w="1797" w:type="dxa"/>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GB/T 3920</w:t>
            </w:r>
          </w:p>
        </w:tc>
        <w:tc>
          <w:tcPr>
            <w:tcW w:w="1617" w:type="dxa"/>
            <w:vAlign w:val="center"/>
          </w:tcPr>
          <w:p>
            <w:pPr>
              <w:jc w:val="center"/>
              <w:rPr>
                <w:rFonts w:ascii="仿宋_GB2312" w:eastAsia="仿宋_GB2312"/>
                <w:color w:val="000000" w:themeColor="text1"/>
                <w:sz w:val="24"/>
                <w:szCs w:val="24"/>
              </w:rPr>
            </w:pPr>
            <w:r>
              <w:rPr>
                <w:rFonts w:hint="eastAsia" w:ascii="仿宋_GB2312" w:hAnsi="宋体" w:eastAsia="仿宋_GB2312"/>
                <w:color w:val="000000" w:themeColor="text1"/>
                <w:sz w:val="24"/>
                <w:szCs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57" w:type="dxa"/>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9</w:t>
            </w:r>
          </w:p>
        </w:tc>
        <w:tc>
          <w:tcPr>
            <w:tcW w:w="2310" w:type="dxa"/>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耐湿摩擦色牢度</w:t>
            </w:r>
          </w:p>
        </w:tc>
        <w:tc>
          <w:tcPr>
            <w:tcW w:w="1918" w:type="dxa"/>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相应产品标准</w:t>
            </w:r>
          </w:p>
        </w:tc>
        <w:tc>
          <w:tcPr>
            <w:tcW w:w="1005" w:type="dxa"/>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推荐性</w:t>
            </w:r>
          </w:p>
        </w:tc>
        <w:tc>
          <w:tcPr>
            <w:tcW w:w="1797" w:type="dxa"/>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GB/T 3920</w:t>
            </w:r>
          </w:p>
        </w:tc>
        <w:tc>
          <w:tcPr>
            <w:tcW w:w="1617" w:type="dxa"/>
            <w:vAlign w:val="center"/>
          </w:tcPr>
          <w:p>
            <w:pPr>
              <w:jc w:val="center"/>
              <w:rPr>
                <w:rFonts w:ascii="仿宋_GB2312" w:eastAsia="仿宋_GB2312"/>
                <w:color w:val="000000" w:themeColor="text1"/>
                <w:sz w:val="24"/>
                <w:szCs w:val="24"/>
              </w:rPr>
            </w:pPr>
            <w:r>
              <w:rPr>
                <w:rFonts w:hint="eastAsia" w:ascii="仿宋_GB2312" w:hAnsi="宋体" w:eastAsia="仿宋_GB2312"/>
                <w:color w:val="000000" w:themeColor="text1"/>
                <w:sz w:val="24"/>
                <w:szCs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57" w:type="dxa"/>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10</w:t>
            </w:r>
          </w:p>
        </w:tc>
        <w:tc>
          <w:tcPr>
            <w:tcW w:w="2310" w:type="dxa"/>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纤维含量</w:t>
            </w:r>
          </w:p>
        </w:tc>
        <w:tc>
          <w:tcPr>
            <w:tcW w:w="1918" w:type="dxa"/>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GB/T 29862</w:t>
            </w:r>
          </w:p>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相应产品标准</w:t>
            </w:r>
          </w:p>
        </w:tc>
        <w:tc>
          <w:tcPr>
            <w:tcW w:w="1005" w:type="dxa"/>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推荐性</w:t>
            </w:r>
          </w:p>
        </w:tc>
        <w:tc>
          <w:tcPr>
            <w:tcW w:w="1797" w:type="dxa"/>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FZ/T 01057</w:t>
            </w:r>
          </w:p>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GB/T 2910等</w:t>
            </w:r>
          </w:p>
        </w:tc>
        <w:tc>
          <w:tcPr>
            <w:tcW w:w="1617" w:type="dxa"/>
            <w:vAlign w:val="center"/>
          </w:tcPr>
          <w:p>
            <w:pPr>
              <w:jc w:val="center"/>
              <w:rPr>
                <w:rFonts w:ascii="仿宋_GB2312" w:eastAsia="仿宋_GB2312"/>
                <w:color w:val="000000" w:themeColor="text1"/>
                <w:sz w:val="24"/>
                <w:szCs w:val="24"/>
              </w:rPr>
            </w:pPr>
            <w:r>
              <w:rPr>
                <w:rFonts w:hint="eastAsia" w:ascii="仿宋_GB2312" w:hAnsi="宋体" w:eastAsia="仿宋_GB2312"/>
                <w:color w:val="000000" w:themeColor="text1"/>
                <w:sz w:val="24"/>
                <w:szCs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57" w:type="dxa"/>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11</w:t>
            </w:r>
          </w:p>
        </w:tc>
        <w:tc>
          <w:tcPr>
            <w:tcW w:w="2310" w:type="dxa"/>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耐皂洗色牢度</w:t>
            </w:r>
          </w:p>
        </w:tc>
        <w:tc>
          <w:tcPr>
            <w:tcW w:w="1918" w:type="dxa"/>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相应产品标准</w:t>
            </w:r>
          </w:p>
        </w:tc>
        <w:tc>
          <w:tcPr>
            <w:tcW w:w="1005" w:type="dxa"/>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推荐性</w:t>
            </w:r>
          </w:p>
        </w:tc>
        <w:tc>
          <w:tcPr>
            <w:tcW w:w="1797" w:type="dxa"/>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相应产品标准</w:t>
            </w:r>
          </w:p>
        </w:tc>
        <w:tc>
          <w:tcPr>
            <w:tcW w:w="1617" w:type="dxa"/>
            <w:vAlign w:val="center"/>
          </w:tcPr>
          <w:p>
            <w:pPr>
              <w:jc w:val="center"/>
              <w:rPr>
                <w:rFonts w:ascii="仿宋_GB2312" w:eastAsia="仿宋_GB2312"/>
                <w:color w:val="000000" w:themeColor="text1"/>
                <w:sz w:val="24"/>
                <w:szCs w:val="24"/>
              </w:rPr>
            </w:pPr>
            <w:r>
              <w:rPr>
                <w:rFonts w:hint="eastAsia" w:ascii="仿宋_GB2312" w:hAnsi="宋体" w:eastAsia="仿宋_GB2312"/>
                <w:color w:val="000000" w:themeColor="text1"/>
                <w:sz w:val="24"/>
                <w:szCs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57" w:type="dxa"/>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12</w:t>
            </w:r>
          </w:p>
        </w:tc>
        <w:tc>
          <w:tcPr>
            <w:tcW w:w="2310" w:type="dxa"/>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耐光色牢度</w:t>
            </w:r>
          </w:p>
        </w:tc>
        <w:tc>
          <w:tcPr>
            <w:tcW w:w="1918" w:type="dxa"/>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相应产品标准</w:t>
            </w:r>
          </w:p>
        </w:tc>
        <w:tc>
          <w:tcPr>
            <w:tcW w:w="1005" w:type="dxa"/>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推荐性</w:t>
            </w:r>
          </w:p>
        </w:tc>
        <w:tc>
          <w:tcPr>
            <w:tcW w:w="1797" w:type="dxa"/>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GB/T 8427</w:t>
            </w:r>
          </w:p>
        </w:tc>
        <w:tc>
          <w:tcPr>
            <w:tcW w:w="1617" w:type="dxa"/>
            <w:vAlign w:val="center"/>
          </w:tcPr>
          <w:p>
            <w:pPr>
              <w:jc w:val="center"/>
              <w:rPr>
                <w:rFonts w:ascii="仿宋_GB2312" w:eastAsia="仿宋_GB2312"/>
                <w:color w:val="000000" w:themeColor="text1"/>
                <w:sz w:val="24"/>
                <w:szCs w:val="24"/>
              </w:rPr>
            </w:pPr>
            <w:r>
              <w:rPr>
                <w:rFonts w:hint="eastAsia" w:ascii="仿宋_GB2312" w:hAnsi="宋体" w:eastAsia="仿宋_GB2312"/>
                <w:color w:val="000000" w:themeColor="text1"/>
                <w:sz w:val="24"/>
                <w:szCs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57" w:type="dxa"/>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13</w:t>
            </w:r>
          </w:p>
        </w:tc>
        <w:tc>
          <w:tcPr>
            <w:tcW w:w="2310" w:type="dxa"/>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耐光、汗复合色牢度</w:t>
            </w:r>
          </w:p>
        </w:tc>
        <w:tc>
          <w:tcPr>
            <w:tcW w:w="1918" w:type="dxa"/>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相应产品标准</w:t>
            </w:r>
          </w:p>
        </w:tc>
        <w:tc>
          <w:tcPr>
            <w:tcW w:w="1005" w:type="dxa"/>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推荐性</w:t>
            </w:r>
          </w:p>
        </w:tc>
        <w:tc>
          <w:tcPr>
            <w:tcW w:w="1797" w:type="dxa"/>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GB/T 14576</w:t>
            </w:r>
          </w:p>
        </w:tc>
        <w:tc>
          <w:tcPr>
            <w:tcW w:w="1617" w:type="dxa"/>
            <w:vAlign w:val="center"/>
          </w:tcPr>
          <w:p>
            <w:pPr>
              <w:jc w:val="center"/>
              <w:rPr>
                <w:rFonts w:ascii="仿宋_GB2312" w:eastAsia="仿宋_GB2312"/>
                <w:color w:val="000000" w:themeColor="text1"/>
                <w:sz w:val="24"/>
                <w:szCs w:val="24"/>
              </w:rPr>
            </w:pPr>
            <w:r>
              <w:rPr>
                <w:rFonts w:hint="eastAsia" w:ascii="仿宋_GB2312" w:hAnsi="宋体" w:eastAsia="仿宋_GB2312"/>
                <w:color w:val="000000" w:themeColor="text1"/>
                <w:sz w:val="24"/>
                <w:szCs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57" w:type="dxa"/>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14</w:t>
            </w:r>
          </w:p>
        </w:tc>
        <w:tc>
          <w:tcPr>
            <w:tcW w:w="2310" w:type="dxa"/>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拼接互染</w:t>
            </w:r>
          </w:p>
        </w:tc>
        <w:tc>
          <w:tcPr>
            <w:tcW w:w="1918" w:type="dxa"/>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相应产品标准</w:t>
            </w:r>
          </w:p>
        </w:tc>
        <w:tc>
          <w:tcPr>
            <w:tcW w:w="1005" w:type="dxa"/>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推荐性</w:t>
            </w:r>
          </w:p>
        </w:tc>
        <w:tc>
          <w:tcPr>
            <w:tcW w:w="1797" w:type="dxa"/>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相应产品标准</w:t>
            </w:r>
          </w:p>
        </w:tc>
        <w:tc>
          <w:tcPr>
            <w:tcW w:w="1617" w:type="dxa"/>
            <w:vAlign w:val="center"/>
          </w:tcPr>
          <w:p>
            <w:pPr>
              <w:jc w:val="center"/>
              <w:rPr>
                <w:rFonts w:ascii="仿宋_GB2312" w:eastAsia="仿宋_GB2312"/>
                <w:color w:val="000000" w:themeColor="text1"/>
                <w:sz w:val="24"/>
                <w:szCs w:val="24"/>
              </w:rPr>
            </w:pPr>
            <w:r>
              <w:rPr>
                <w:rFonts w:hint="eastAsia" w:ascii="仿宋_GB2312" w:hAnsi="宋体" w:eastAsia="仿宋_GB2312"/>
                <w:color w:val="000000" w:themeColor="text1"/>
                <w:sz w:val="24"/>
                <w:szCs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57" w:type="dxa"/>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15</w:t>
            </w:r>
          </w:p>
        </w:tc>
        <w:tc>
          <w:tcPr>
            <w:tcW w:w="2310" w:type="dxa"/>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顶破强力</w:t>
            </w:r>
          </w:p>
        </w:tc>
        <w:tc>
          <w:tcPr>
            <w:tcW w:w="1918" w:type="dxa"/>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相应产品标准</w:t>
            </w:r>
          </w:p>
        </w:tc>
        <w:tc>
          <w:tcPr>
            <w:tcW w:w="1005" w:type="dxa"/>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推荐性</w:t>
            </w:r>
          </w:p>
        </w:tc>
        <w:tc>
          <w:tcPr>
            <w:tcW w:w="1797" w:type="dxa"/>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相应产品标准</w:t>
            </w:r>
          </w:p>
        </w:tc>
        <w:tc>
          <w:tcPr>
            <w:tcW w:w="1617" w:type="dxa"/>
            <w:vAlign w:val="center"/>
          </w:tcPr>
          <w:p>
            <w:pPr>
              <w:jc w:val="center"/>
              <w:rPr>
                <w:rFonts w:ascii="仿宋_GB2312" w:eastAsia="仿宋_GB2312"/>
                <w:color w:val="000000" w:themeColor="text1"/>
                <w:sz w:val="24"/>
                <w:szCs w:val="24"/>
              </w:rPr>
            </w:pPr>
            <w:r>
              <w:rPr>
                <w:rFonts w:hint="eastAsia" w:ascii="仿宋_GB2312" w:hAnsi="宋体" w:eastAsia="仿宋_GB2312"/>
                <w:color w:val="000000" w:themeColor="text1"/>
                <w:sz w:val="24"/>
                <w:szCs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57" w:type="dxa"/>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16</w:t>
            </w:r>
          </w:p>
        </w:tc>
        <w:tc>
          <w:tcPr>
            <w:tcW w:w="2310" w:type="dxa"/>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撕破强力</w:t>
            </w:r>
          </w:p>
        </w:tc>
        <w:tc>
          <w:tcPr>
            <w:tcW w:w="1918" w:type="dxa"/>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相应产品标准</w:t>
            </w:r>
          </w:p>
        </w:tc>
        <w:tc>
          <w:tcPr>
            <w:tcW w:w="1005" w:type="dxa"/>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推荐性</w:t>
            </w:r>
          </w:p>
        </w:tc>
        <w:tc>
          <w:tcPr>
            <w:tcW w:w="1797" w:type="dxa"/>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相应产品标准</w:t>
            </w:r>
          </w:p>
        </w:tc>
        <w:tc>
          <w:tcPr>
            <w:tcW w:w="1617" w:type="dxa"/>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57" w:type="dxa"/>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17</w:t>
            </w:r>
          </w:p>
        </w:tc>
        <w:tc>
          <w:tcPr>
            <w:tcW w:w="2310" w:type="dxa"/>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拉伸弹性回复率</w:t>
            </w:r>
          </w:p>
        </w:tc>
        <w:tc>
          <w:tcPr>
            <w:tcW w:w="1918" w:type="dxa"/>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相应产品标准</w:t>
            </w:r>
          </w:p>
        </w:tc>
        <w:tc>
          <w:tcPr>
            <w:tcW w:w="1005" w:type="dxa"/>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推荐性</w:t>
            </w:r>
          </w:p>
        </w:tc>
        <w:tc>
          <w:tcPr>
            <w:tcW w:w="1797" w:type="dxa"/>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相应产品标准</w:t>
            </w:r>
          </w:p>
        </w:tc>
        <w:tc>
          <w:tcPr>
            <w:tcW w:w="1617" w:type="dxa"/>
            <w:vAlign w:val="center"/>
          </w:tcPr>
          <w:p>
            <w:pPr>
              <w:jc w:val="center"/>
              <w:rPr>
                <w:rFonts w:ascii="仿宋_GB2312" w:eastAsia="仿宋_GB2312"/>
                <w:color w:val="000000" w:themeColor="text1"/>
                <w:sz w:val="24"/>
                <w:szCs w:val="24"/>
              </w:rPr>
            </w:pPr>
            <w:r>
              <w:rPr>
                <w:rFonts w:hint="eastAsia" w:ascii="仿宋_GB2312" w:hAnsi="宋体" w:eastAsia="仿宋_GB2312"/>
                <w:color w:val="000000" w:themeColor="text1"/>
                <w:sz w:val="24"/>
                <w:szCs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57" w:type="dxa"/>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18</w:t>
            </w:r>
          </w:p>
        </w:tc>
        <w:tc>
          <w:tcPr>
            <w:tcW w:w="2310" w:type="dxa"/>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水洗尺寸变化率</w:t>
            </w:r>
          </w:p>
        </w:tc>
        <w:tc>
          <w:tcPr>
            <w:tcW w:w="1918" w:type="dxa"/>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相应产品标准</w:t>
            </w:r>
          </w:p>
        </w:tc>
        <w:tc>
          <w:tcPr>
            <w:tcW w:w="1005" w:type="dxa"/>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推荐性</w:t>
            </w:r>
          </w:p>
        </w:tc>
        <w:tc>
          <w:tcPr>
            <w:tcW w:w="1797" w:type="dxa"/>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相应产品标准</w:t>
            </w:r>
          </w:p>
        </w:tc>
        <w:tc>
          <w:tcPr>
            <w:tcW w:w="1617" w:type="dxa"/>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57" w:type="dxa"/>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19</w:t>
            </w:r>
          </w:p>
        </w:tc>
        <w:tc>
          <w:tcPr>
            <w:tcW w:w="2310" w:type="dxa"/>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水洗后扭曲率</w:t>
            </w:r>
          </w:p>
        </w:tc>
        <w:tc>
          <w:tcPr>
            <w:tcW w:w="1918" w:type="dxa"/>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相应产品标准</w:t>
            </w:r>
          </w:p>
        </w:tc>
        <w:tc>
          <w:tcPr>
            <w:tcW w:w="1005" w:type="dxa"/>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推荐性</w:t>
            </w:r>
          </w:p>
        </w:tc>
        <w:tc>
          <w:tcPr>
            <w:tcW w:w="1797" w:type="dxa"/>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相应产品标准</w:t>
            </w:r>
          </w:p>
        </w:tc>
        <w:tc>
          <w:tcPr>
            <w:tcW w:w="1617" w:type="dxa"/>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57" w:type="dxa"/>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20</w:t>
            </w:r>
          </w:p>
        </w:tc>
        <w:tc>
          <w:tcPr>
            <w:tcW w:w="2310" w:type="dxa"/>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水洗后外观</w:t>
            </w:r>
          </w:p>
        </w:tc>
        <w:tc>
          <w:tcPr>
            <w:tcW w:w="1918" w:type="dxa"/>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相应产品标准</w:t>
            </w:r>
          </w:p>
        </w:tc>
        <w:tc>
          <w:tcPr>
            <w:tcW w:w="1005" w:type="dxa"/>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推荐性</w:t>
            </w:r>
          </w:p>
        </w:tc>
        <w:tc>
          <w:tcPr>
            <w:tcW w:w="1797" w:type="dxa"/>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相应产品标准</w:t>
            </w:r>
          </w:p>
        </w:tc>
        <w:tc>
          <w:tcPr>
            <w:tcW w:w="1617" w:type="dxa"/>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57" w:type="dxa"/>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21</w:t>
            </w:r>
          </w:p>
        </w:tc>
        <w:tc>
          <w:tcPr>
            <w:tcW w:w="2310" w:type="dxa"/>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起球</w:t>
            </w:r>
          </w:p>
        </w:tc>
        <w:tc>
          <w:tcPr>
            <w:tcW w:w="1918" w:type="dxa"/>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相应产品标准</w:t>
            </w:r>
          </w:p>
        </w:tc>
        <w:tc>
          <w:tcPr>
            <w:tcW w:w="1005" w:type="dxa"/>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推荐性</w:t>
            </w:r>
          </w:p>
        </w:tc>
        <w:tc>
          <w:tcPr>
            <w:tcW w:w="1797" w:type="dxa"/>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相应产品标准</w:t>
            </w:r>
          </w:p>
        </w:tc>
        <w:tc>
          <w:tcPr>
            <w:tcW w:w="1617" w:type="dxa"/>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57" w:type="dxa"/>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22</w:t>
            </w:r>
          </w:p>
        </w:tc>
        <w:tc>
          <w:tcPr>
            <w:tcW w:w="2310" w:type="dxa"/>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接缝性能</w:t>
            </w:r>
          </w:p>
        </w:tc>
        <w:tc>
          <w:tcPr>
            <w:tcW w:w="1918" w:type="dxa"/>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相应产品标准</w:t>
            </w:r>
          </w:p>
        </w:tc>
        <w:tc>
          <w:tcPr>
            <w:tcW w:w="1005" w:type="dxa"/>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推荐性</w:t>
            </w:r>
          </w:p>
        </w:tc>
        <w:tc>
          <w:tcPr>
            <w:tcW w:w="1797" w:type="dxa"/>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相应产品标准</w:t>
            </w:r>
          </w:p>
        </w:tc>
        <w:tc>
          <w:tcPr>
            <w:tcW w:w="1617" w:type="dxa"/>
            <w:vAlign w:val="center"/>
          </w:tcPr>
          <w:p>
            <w:pPr>
              <w:jc w:val="center"/>
              <w:rPr>
                <w:rFonts w:ascii="仿宋_GB2312" w:eastAsia="仿宋_GB2312"/>
                <w:color w:val="000000" w:themeColor="text1"/>
                <w:sz w:val="24"/>
                <w:szCs w:val="24"/>
              </w:rPr>
            </w:pPr>
            <w:r>
              <w:rPr>
                <w:rFonts w:hint="eastAsia" w:ascii="仿宋_GB2312" w:hAnsi="宋体" w:eastAsia="仿宋_GB2312"/>
                <w:color w:val="000000" w:themeColor="text1"/>
                <w:sz w:val="24"/>
                <w:szCs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57" w:type="dxa"/>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23</w:t>
            </w:r>
          </w:p>
        </w:tc>
        <w:tc>
          <w:tcPr>
            <w:tcW w:w="2310" w:type="dxa"/>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含绒量</w:t>
            </w:r>
          </w:p>
        </w:tc>
        <w:tc>
          <w:tcPr>
            <w:tcW w:w="1918" w:type="dxa"/>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相应产品标准</w:t>
            </w:r>
          </w:p>
        </w:tc>
        <w:tc>
          <w:tcPr>
            <w:tcW w:w="1005" w:type="dxa"/>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推荐性</w:t>
            </w:r>
          </w:p>
        </w:tc>
        <w:tc>
          <w:tcPr>
            <w:tcW w:w="1797" w:type="dxa"/>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相应产品标准</w:t>
            </w:r>
          </w:p>
        </w:tc>
        <w:tc>
          <w:tcPr>
            <w:tcW w:w="1617" w:type="dxa"/>
            <w:vAlign w:val="center"/>
          </w:tcPr>
          <w:p>
            <w:pPr>
              <w:jc w:val="center"/>
              <w:rPr>
                <w:rFonts w:ascii="仿宋_GB2312" w:eastAsia="仿宋_GB2312"/>
                <w:color w:val="000000" w:themeColor="text1"/>
                <w:sz w:val="24"/>
                <w:szCs w:val="24"/>
              </w:rPr>
            </w:pPr>
            <w:r>
              <w:rPr>
                <w:rFonts w:hint="eastAsia" w:ascii="仿宋_GB2312" w:hAnsi="宋体" w:eastAsia="仿宋_GB2312"/>
                <w:color w:val="000000" w:themeColor="text1"/>
                <w:sz w:val="24"/>
                <w:szCs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57" w:type="dxa"/>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24</w:t>
            </w:r>
          </w:p>
        </w:tc>
        <w:tc>
          <w:tcPr>
            <w:tcW w:w="2310" w:type="dxa"/>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充绒量</w:t>
            </w:r>
          </w:p>
        </w:tc>
        <w:tc>
          <w:tcPr>
            <w:tcW w:w="1918" w:type="dxa"/>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相应产品标准</w:t>
            </w:r>
          </w:p>
        </w:tc>
        <w:tc>
          <w:tcPr>
            <w:tcW w:w="1005" w:type="dxa"/>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推荐性</w:t>
            </w:r>
          </w:p>
        </w:tc>
        <w:tc>
          <w:tcPr>
            <w:tcW w:w="1797" w:type="dxa"/>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相应产品标准</w:t>
            </w:r>
          </w:p>
        </w:tc>
        <w:tc>
          <w:tcPr>
            <w:tcW w:w="1617" w:type="dxa"/>
            <w:vAlign w:val="center"/>
          </w:tcPr>
          <w:p>
            <w:pPr>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57" w:type="dxa"/>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25</w:t>
            </w:r>
          </w:p>
        </w:tc>
        <w:tc>
          <w:tcPr>
            <w:tcW w:w="2310" w:type="dxa"/>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绒子含量</w:t>
            </w:r>
          </w:p>
        </w:tc>
        <w:tc>
          <w:tcPr>
            <w:tcW w:w="1918" w:type="dxa"/>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相应产品标准</w:t>
            </w:r>
          </w:p>
        </w:tc>
        <w:tc>
          <w:tcPr>
            <w:tcW w:w="1005" w:type="dxa"/>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推荐性</w:t>
            </w:r>
          </w:p>
        </w:tc>
        <w:tc>
          <w:tcPr>
            <w:tcW w:w="1797" w:type="dxa"/>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相应产品标准</w:t>
            </w:r>
          </w:p>
        </w:tc>
        <w:tc>
          <w:tcPr>
            <w:tcW w:w="1617" w:type="dxa"/>
            <w:vAlign w:val="center"/>
          </w:tcPr>
          <w:p>
            <w:pPr>
              <w:jc w:val="center"/>
              <w:rPr>
                <w:rFonts w:ascii="仿宋_GB2312" w:eastAsia="仿宋_GB2312"/>
                <w:color w:val="000000" w:themeColor="text1"/>
                <w:sz w:val="24"/>
                <w:szCs w:val="24"/>
              </w:rPr>
            </w:pPr>
            <w:r>
              <w:rPr>
                <w:rFonts w:hint="eastAsia" w:ascii="仿宋_GB2312" w:hAnsi="宋体" w:eastAsia="仿宋_GB2312"/>
                <w:color w:val="000000" w:themeColor="text1"/>
                <w:sz w:val="24"/>
                <w:szCs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57" w:type="dxa"/>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26</w:t>
            </w:r>
          </w:p>
        </w:tc>
        <w:tc>
          <w:tcPr>
            <w:tcW w:w="2310" w:type="dxa"/>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羽绒种类</w:t>
            </w:r>
          </w:p>
        </w:tc>
        <w:tc>
          <w:tcPr>
            <w:tcW w:w="1918" w:type="dxa"/>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相应产品标准</w:t>
            </w:r>
          </w:p>
        </w:tc>
        <w:tc>
          <w:tcPr>
            <w:tcW w:w="1005" w:type="dxa"/>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推荐性</w:t>
            </w:r>
          </w:p>
        </w:tc>
        <w:tc>
          <w:tcPr>
            <w:tcW w:w="1797" w:type="dxa"/>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相应产品标准</w:t>
            </w:r>
          </w:p>
        </w:tc>
        <w:tc>
          <w:tcPr>
            <w:tcW w:w="1617" w:type="dxa"/>
            <w:vAlign w:val="center"/>
          </w:tcPr>
          <w:p>
            <w:pPr>
              <w:jc w:val="center"/>
              <w:rPr>
                <w:rFonts w:ascii="仿宋_GB2312" w:eastAsia="仿宋_GB2312"/>
                <w:color w:val="000000" w:themeColor="text1"/>
                <w:sz w:val="24"/>
                <w:szCs w:val="24"/>
              </w:rPr>
            </w:pPr>
            <w:r>
              <w:rPr>
                <w:rFonts w:hint="eastAsia" w:ascii="仿宋_GB2312" w:hAnsi="宋体" w:eastAsia="仿宋_GB2312"/>
                <w:color w:val="000000" w:themeColor="text1"/>
                <w:sz w:val="24"/>
                <w:szCs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57" w:type="dxa"/>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27</w:t>
            </w:r>
          </w:p>
        </w:tc>
        <w:tc>
          <w:tcPr>
            <w:tcW w:w="2310" w:type="dxa"/>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鸭毛（绒）含量</w:t>
            </w:r>
          </w:p>
        </w:tc>
        <w:tc>
          <w:tcPr>
            <w:tcW w:w="1918" w:type="dxa"/>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相应产品标准</w:t>
            </w:r>
          </w:p>
        </w:tc>
        <w:tc>
          <w:tcPr>
            <w:tcW w:w="1005" w:type="dxa"/>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推荐性</w:t>
            </w:r>
          </w:p>
        </w:tc>
        <w:tc>
          <w:tcPr>
            <w:tcW w:w="1797" w:type="dxa"/>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相应产品标准</w:t>
            </w:r>
          </w:p>
        </w:tc>
        <w:tc>
          <w:tcPr>
            <w:tcW w:w="1617" w:type="dxa"/>
            <w:vAlign w:val="center"/>
          </w:tcPr>
          <w:p>
            <w:pPr>
              <w:jc w:val="center"/>
              <w:rPr>
                <w:rFonts w:ascii="仿宋_GB2312" w:eastAsia="仿宋_GB2312"/>
                <w:color w:val="000000" w:themeColor="text1"/>
                <w:sz w:val="24"/>
                <w:szCs w:val="24"/>
              </w:rPr>
            </w:pPr>
            <w:r>
              <w:rPr>
                <w:rFonts w:hint="eastAsia" w:ascii="仿宋_GB2312" w:hAnsi="宋体" w:eastAsia="仿宋_GB2312"/>
                <w:color w:val="000000" w:themeColor="text1"/>
                <w:sz w:val="24"/>
                <w:szCs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57" w:type="dxa"/>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28</w:t>
            </w:r>
          </w:p>
        </w:tc>
        <w:tc>
          <w:tcPr>
            <w:tcW w:w="2310" w:type="dxa"/>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耗氧量</w:t>
            </w:r>
          </w:p>
        </w:tc>
        <w:tc>
          <w:tcPr>
            <w:tcW w:w="1918" w:type="dxa"/>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相应产品标准</w:t>
            </w:r>
          </w:p>
        </w:tc>
        <w:tc>
          <w:tcPr>
            <w:tcW w:w="1005" w:type="dxa"/>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推荐性</w:t>
            </w:r>
          </w:p>
        </w:tc>
        <w:tc>
          <w:tcPr>
            <w:tcW w:w="1797" w:type="dxa"/>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相应产品标准</w:t>
            </w:r>
          </w:p>
        </w:tc>
        <w:tc>
          <w:tcPr>
            <w:tcW w:w="1617" w:type="dxa"/>
            <w:vAlign w:val="center"/>
          </w:tcPr>
          <w:p>
            <w:pPr>
              <w:jc w:val="center"/>
              <w:rPr>
                <w:rFonts w:ascii="仿宋_GB2312" w:eastAsia="仿宋_GB2312"/>
                <w:color w:val="000000" w:themeColor="text1"/>
                <w:sz w:val="24"/>
                <w:szCs w:val="24"/>
              </w:rPr>
            </w:pPr>
            <w:r>
              <w:rPr>
                <w:rFonts w:hint="eastAsia" w:ascii="仿宋_GB2312" w:hAnsi="宋体" w:eastAsia="仿宋_GB2312"/>
                <w:color w:val="000000" w:themeColor="text1"/>
                <w:sz w:val="24"/>
                <w:szCs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57" w:type="dxa"/>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29</w:t>
            </w:r>
          </w:p>
        </w:tc>
        <w:tc>
          <w:tcPr>
            <w:tcW w:w="2310" w:type="dxa"/>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羽绒微生物</w:t>
            </w:r>
          </w:p>
        </w:tc>
        <w:tc>
          <w:tcPr>
            <w:tcW w:w="1918" w:type="dxa"/>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相应产品标准</w:t>
            </w:r>
          </w:p>
        </w:tc>
        <w:tc>
          <w:tcPr>
            <w:tcW w:w="1005" w:type="dxa"/>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推荐性</w:t>
            </w:r>
          </w:p>
        </w:tc>
        <w:tc>
          <w:tcPr>
            <w:tcW w:w="1797" w:type="dxa"/>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相应产品标准</w:t>
            </w:r>
          </w:p>
        </w:tc>
        <w:tc>
          <w:tcPr>
            <w:tcW w:w="1617" w:type="dxa"/>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不予复检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57" w:type="dxa"/>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30</w:t>
            </w:r>
          </w:p>
        </w:tc>
        <w:tc>
          <w:tcPr>
            <w:tcW w:w="2310" w:type="dxa"/>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蓬松度</w:t>
            </w:r>
          </w:p>
        </w:tc>
        <w:tc>
          <w:tcPr>
            <w:tcW w:w="1918" w:type="dxa"/>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相应产品标准</w:t>
            </w:r>
          </w:p>
        </w:tc>
        <w:tc>
          <w:tcPr>
            <w:tcW w:w="1005" w:type="dxa"/>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推荐性</w:t>
            </w:r>
          </w:p>
        </w:tc>
        <w:tc>
          <w:tcPr>
            <w:tcW w:w="1797" w:type="dxa"/>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相应产品标准</w:t>
            </w:r>
          </w:p>
        </w:tc>
        <w:tc>
          <w:tcPr>
            <w:tcW w:w="1617" w:type="dxa"/>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57" w:type="dxa"/>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31</w:t>
            </w:r>
          </w:p>
        </w:tc>
        <w:tc>
          <w:tcPr>
            <w:tcW w:w="2310" w:type="dxa"/>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防钻绒性</w:t>
            </w:r>
          </w:p>
        </w:tc>
        <w:tc>
          <w:tcPr>
            <w:tcW w:w="1918" w:type="dxa"/>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相应产品标准</w:t>
            </w:r>
          </w:p>
        </w:tc>
        <w:tc>
          <w:tcPr>
            <w:tcW w:w="1005" w:type="dxa"/>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推荐性</w:t>
            </w:r>
          </w:p>
        </w:tc>
        <w:tc>
          <w:tcPr>
            <w:tcW w:w="1797" w:type="dxa"/>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相应产品标准</w:t>
            </w:r>
          </w:p>
        </w:tc>
        <w:tc>
          <w:tcPr>
            <w:tcW w:w="1617" w:type="dxa"/>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57" w:type="dxa"/>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32</w:t>
            </w:r>
          </w:p>
        </w:tc>
        <w:tc>
          <w:tcPr>
            <w:tcW w:w="2310" w:type="dxa"/>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耐海水色牢度</w:t>
            </w:r>
          </w:p>
        </w:tc>
        <w:tc>
          <w:tcPr>
            <w:tcW w:w="1918" w:type="dxa"/>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相应产品标准</w:t>
            </w:r>
          </w:p>
        </w:tc>
        <w:tc>
          <w:tcPr>
            <w:tcW w:w="1005" w:type="dxa"/>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推荐性</w:t>
            </w:r>
          </w:p>
        </w:tc>
        <w:tc>
          <w:tcPr>
            <w:tcW w:w="1797" w:type="dxa"/>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GB/T 5714</w:t>
            </w:r>
          </w:p>
        </w:tc>
        <w:tc>
          <w:tcPr>
            <w:tcW w:w="1617" w:type="dxa"/>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57" w:type="dxa"/>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33</w:t>
            </w:r>
          </w:p>
        </w:tc>
        <w:tc>
          <w:tcPr>
            <w:tcW w:w="2310" w:type="dxa"/>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耐氯化水（游泳池水）色牢度</w:t>
            </w:r>
          </w:p>
        </w:tc>
        <w:tc>
          <w:tcPr>
            <w:tcW w:w="1918" w:type="dxa"/>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相应产品标准</w:t>
            </w:r>
          </w:p>
        </w:tc>
        <w:tc>
          <w:tcPr>
            <w:tcW w:w="1005" w:type="dxa"/>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推荐性</w:t>
            </w:r>
          </w:p>
        </w:tc>
        <w:tc>
          <w:tcPr>
            <w:tcW w:w="1797" w:type="dxa"/>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GB/T 8433</w:t>
            </w:r>
          </w:p>
        </w:tc>
        <w:tc>
          <w:tcPr>
            <w:tcW w:w="1617" w:type="dxa"/>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57" w:type="dxa"/>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34</w:t>
            </w:r>
          </w:p>
        </w:tc>
        <w:tc>
          <w:tcPr>
            <w:tcW w:w="2310" w:type="dxa"/>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耐氯化水（游泳池水）拉伸弹性回复率</w:t>
            </w:r>
          </w:p>
        </w:tc>
        <w:tc>
          <w:tcPr>
            <w:tcW w:w="1918" w:type="dxa"/>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相应产品标准</w:t>
            </w:r>
          </w:p>
        </w:tc>
        <w:tc>
          <w:tcPr>
            <w:tcW w:w="1005" w:type="dxa"/>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推荐性</w:t>
            </w:r>
          </w:p>
        </w:tc>
        <w:tc>
          <w:tcPr>
            <w:tcW w:w="1797" w:type="dxa"/>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GB/T 8433</w:t>
            </w:r>
          </w:p>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FZ/T 70006</w:t>
            </w:r>
          </w:p>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相应产品标准</w:t>
            </w:r>
          </w:p>
        </w:tc>
        <w:tc>
          <w:tcPr>
            <w:tcW w:w="1617" w:type="dxa"/>
            <w:vAlign w:val="center"/>
          </w:tcPr>
          <w:p>
            <w:pPr>
              <w:pStyle w:val="7"/>
              <w:snapToGrid w:val="0"/>
              <w:spacing w:beforeLines="25" w:afterLines="25"/>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104" w:type="dxa"/>
            <w:gridSpan w:val="6"/>
            <w:vAlign w:val="center"/>
          </w:tcPr>
          <w:p>
            <w:pPr>
              <w:pStyle w:val="7"/>
              <w:snapToGrid w:val="0"/>
              <w:spacing w:beforeLines="25" w:afterLines="25"/>
              <w:jc w:val="left"/>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注1：对于原样复检的项目，如样本量不够时采用备样复检。</w:t>
            </w:r>
          </w:p>
        </w:tc>
      </w:tr>
    </w:tbl>
    <w:p>
      <w:pPr>
        <w:snapToGrid w:val="0"/>
        <w:spacing w:line="360" w:lineRule="auto"/>
        <w:rPr>
          <w:rFonts w:ascii="仿宋_GB2312" w:hAnsi="宋体" w:eastAsia="仿宋_GB2312"/>
          <w:b/>
          <w:color w:val="000000" w:themeColor="text1"/>
          <w:sz w:val="28"/>
          <w:szCs w:val="28"/>
        </w:rPr>
      </w:pPr>
      <w:r>
        <w:rPr>
          <w:rFonts w:hint="eastAsia" w:ascii="仿宋_GB2312" w:eastAsia="仿宋_GB2312" w:cs="Sim Sun"/>
          <w:b/>
          <w:color w:val="000000" w:themeColor="text1"/>
          <w:kern w:val="0"/>
          <w:sz w:val="28"/>
          <w:szCs w:val="28"/>
        </w:rPr>
        <w:t>6.2 检验应注意的问题</w:t>
      </w:r>
    </w:p>
    <w:p>
      <w:pPr>
        <w:snapToGrid w:val="0"/>
        <w:spacing w:line="360" w:lineRule="auto"/>
        <w:rPr>
          <w:rFonts w:ascii="仿宋_GB2312" w:eastAsia="仿宋_GB2312" w:cs="Sim Sun"/>
          <w:b/>
          <w:kern w:val="0"/>
          <w:sz w:val="28"/>
          <w:szCs w:val="28"/>
        </w:rPr>
      </w:pPr>
      <w:r>
        <w:rPr>
          <w:rFonts w:hint="eastAsia" w:ascii="仿宋_GB2312" w:eastAsia="仿宋_GB2312" w:cs="Sim Sun"/>
          <w:b/>
          <w:kern w:val="0"/>
          <w:sz w:val="28"/>
          <w:szCs w:val="28"/>
        </w:rPr>
        <w:t>6.2.1取样要求</w:t>
      </w:r>
    </w:p>
    <w:p>
      <w:pPr>
        <w:snapToGrid w:val="0"/>
        <w:spacing w:line="360" w:lineRule="auto"/>
        <w:ind w:firstLine="560" w:firstLineChars="200"/>
        <w:rPr>
          <w:rFonts w:ascii="仿宋_GB2312" w:eastAsia="仿宋_GB2312" w:cs="Sim Sun"/>
          <w:kern w:val="0"/>
          <w:sz w:val="28"/>
          <w:szCs w:val="28"/>
        </w:rPr>
      </w:pPr>
      <w:r>
        <w:rPr>
          <w:rFonts w:ascii="仿宋_GB2312" w:eastAsia="仿宋_GB2312" w:cs="Sim Sun"/>
          <w:kern w:val="0"/>
          <w:sz w:val="28"/>
          <w:szCs w:val="28"/>
        </w:rPr>
        <w:t>对于</w:t>
      </w:r>
      <w:r>
        <w:rPr>
          <w:rFonts w:hint="eastAsia" w:ascii="仿宋_GB2312" w:eastAsia="仿宋_GB2312" w:cs="Sim Sun"/>
          <w:kern w:val="0"/>
          <w:sz w:val="28"/>
          <w:szCs w:val="28"/>
        </w:rPr>
        <w:t>素</w:t>
      </w:r>
      <w:r>
        <w:rPr>
          <w:rFonts w:ascii="仿宋_GB2312" w:eastAsia="仿宋_GB2312" w:cs="Sim Sun"/>
          <w:kern w:val="0"/>
          <w:sz w:val="28"/>
          <w:szCs w:val="28"/>
        </w:rPr>
        <w:t>色</w:t>
      </w:r>
      <w:r>
        <w:rPr>
          <w:rFonts w:hint="eastAsia" w:ascii="仿宋_GB2312" w:eastAsia="仿宋_GB2312" w:cs="Sim Sun"/>
          <w:kern w:val="0"/>
          <w:sz w:val="28"/>
          <w:szCs w:val="28"/>
        </w:rPr>
        <w:t>、相同材质</w:t>
      </w:r>
      <w:r>
        <w:rPr>
          <w:rFonts w:ascii="仿宋_GB2312" w:eastAsia="仿宋_GB2312" w:cs="Sim Sun"/>
          <w:kern w:val="0"/>
          <w:sz w:val="28"/>
          <w:szCs w:val="28"/>
        </w:rPr>
        <w:t>、均匀混色或</w:t>
      </w:r>
      <w:r>
        <w:rPr>
          <w:rFonts w:hint="eastAsia" w:ascii="仿宋_GB2312" w:eastAsia="仿宋_GB2312" w:cs="Sim Sun"/>
          <w:kern w:val="0"/>
          <w:sz w:val="28"/>
          <w:szCs w:val="28"/>
        </w:rPr>
        <w:t>小循环印花、色织及</w:t>
      </w:r>
      <w:r>
        <w:rPr>
          <w:rFonts w:ascii="仿宋_GB2312" w:eastAsia="仿宋_GB2312" w:cs="Sim Sun"/>
          <w:kern w:val="0"/>
          <w:sz w:val="28"/>
          <w:szCs w:val="28"/>
        </w:rPr>
        <w:t>类似效果的</w:t>
      </w:r>
      <w:r>
        <w:rPr>
          <w:rFonts w:hint="eastAsia" w:ascii="仿宋_GB2312" w:eastAsia="仿宋_GB2312" w:cs="Sim Sun"/>
          <w:kern w:val="0"/>
          <w:sz w:val="28"/>
          <w:szCs w:val="28"/>
        </w:rPr>
        <w:t>材料</w:t>
      </w:r>
      <w:r>
        <w:rPr>
          <w:rFonts w:ascii="仿宋_GB2312" w:eastAsia="仿宋_GB2312" w:cs="Sim Sun"/>
          <w:kern w:val="0"/>
          <w:sz w:val="28"/>
          <w:szCs w:val="28"/>
        </w:rPr>
        <w:t>，</w:t>
      </w:r>
      <w:r>
        <w:rPr>
          <w:rFonts w:hint="eastAsia" w:ascii="仿宋_GB2312" w:eastAsia="仿宋_GB2312" w:cs="Sim Sun"/>
          <w:kern w:val="0"/>
          <w:sz w:val="28"/>
          <w:szCs w:val="28"/>
        </w:rPr>
        <w:t>按相应的试验方法标准规定取样</w:t>
      </w:r>
      <w:r>
        <w:rPr>
          <w:rFonts w:ascii="仿宋_GB2312" w:eastAsia="仿宋_GB2312" w:cs="Sim Sun"/>
          <w:kern w:val="0"/>
          <w:sz w:val="28"/>
          <w:szCs w:val="28"/>
        </w:rPr>
        <w:t>。</w:t>
      </w:r>
    </w:p>
    <w:p>
      <w:pPr>
        <w:snapToGrid w:val="0"/>
        <w:spacing w:line="360" w:lineRule="auto"/>
        <w:ind w:firstLine="560" w:firstLineChars="200"/>
        <w:rPr>
          <w:rFonts w:ascii="仿宋_GB2312" w:eastAsia="仿宋_GB2312" w:cs="Sim Sun"/>
          <w:kern w:val="0"/>
          <w:sz w:val="28"/>
          <w:szCs w:val="28"/>
        </w:rPr>
      </w:pPr>
      <w:r>
        <w:rPr>
          <w:rFonts w:hint="eastAsia" w:ascii="仿宋_GB2312" w:eastAsia="仿宋_GB2312" w:cs="Sim Sun"/>
          <w:kern w:val="0"/>
          <w:sz w:val="28"/>
          <w:szCs w:val="28"/>
        </w:rPr>
        <w:t>对于花型循环较大或无规律的印花和色织产品，色牢度试验分别取各色相检测，以级别最低的作为试验结果。</w:t>
      </w:r>
    </w:p>
    <w:p>
      <w:pPr>
        <w:snapToGrid w:val="0"/>
        <w:spacing w:line="360" w:lineRule="auto"/>
        <w:ind w:firstLine="560" w:firstLineChars="200"/>
        <w:rPr>
          <w:rFonts w:ascii="仿宋_GB2312" w:eastAsia="仿宋_GB2312" w:cs="Sim Sun"/>
          <w:kern w:val="0"/>
          <w:sz w:val="28"/>
          <w:szCs w:val="28"/>
        </w:rPr>
      </w:pPr>
      <w:r>
        <w:rPr>
          <w:rFonts w:hint="eastAsia" w:ascii="仿宋_GB2312" w:eastAsia="仿宋_GB2312" w:cs="Sim Sun"/>
          <w:kern w:val="0"/>
          <w:sz w:val="28"/>
          <w:szCs w:val="28"/>
        </w:rPr>
        <w:t>对于局部印花、独立印花或分散花型，取样应该包括印花图案中的各种颜色；如果这些印花色相不同，可分别取样。当局部印花图案很小时，只能在同一件样品中连同底布取足一个试样，不可从多个样品中剪取后合为一个试样。</w:t>
      </w:r>
    </w:p>
    <w:p>
      <w:pPr>
        <w:snapToGrid w:val="0"/>
        <w:spacing w:line="360" w:lineRule="auto"/>
        <w:ind w:firstLine="560" w:firstLineChars="200"/>
        <w:rPr>
          <w:rFonts w:ascii="仿宋_GB2312" w:eastAsia="仿宋_GB2312" w:cs="Sim Sun"/>
          <w:kern w:val="0"/>
          <w:sz w:val="28"/>
          <w:szCs w:val="28"/>
        </w:rPr>
      </w:pPr>
      <w:r>
        <w:rPr>
          <w:rFonts w:hint="eastAsia" w:ascii="仿宋_GB2312" w:eastAsia="仿宋_GB2312" w:cs="Sim Sun"/>
          <w:kern w:val="0"/>
          <w:sz w:val="28"/>
          <w:szCs w:val="28"/>
        </w:rPr>
        <w:t>对于</w:t>
      </w:r>
      <w:r>
        <w:rPr>
          <w:rFonts w:ascii="仿宋_GB2312" w:eastAsia="仿宋_GB2312" w:cs="Sim Sun"/>
          <w:kern w:val="0"/>
          <w:sz w:val="28"/>
          <w:szCs w:val="28"/>
        </w:rPr>
        <w:t>可分解致癌芳香胺染料</w:t>
      </w:r>
      <w:r>
        <w:rPr>
          <w:rFonts w:hint="eastAsia" w:ascii="仿宋_GB2312" w:eastAsia="仿宋_GB2312" w:cs="Sim Sun"/>
          <w:kern w:val="0"/>
          <w:sz w:val="28"/>
          <w:szCs w:val="28"/>
        </w:rPr>
        <w:t>的试样，当混色取样时，同种材质的每个试样一般不可超过三种颜色，如混色检验检出阳性时，应分色重检。</w:t>
      </w:r>
    </w:p>
    <w:p>
      <w:pPr>
        <w:snapToGrid w:val="0"/>
        <w:spacing w:line="360" w:lineRule="auto"/>
        <w:ind w:firstLine="560" w:firstLineChars="200"/>
        <w:rPr>
          <w:rFonts w:ascii="仿宋_GB2312" w:eastAsia="仿宋_GB2312" w:cs="Sim Sun"/>
          <w:kern w:val="0"/>
          <w:sz w:val="28"/>
          <w:szCs w:val="28"/>
        </w:rPr>
      </w:pPr>
      <w:r>
        <w:rPr>
          <w:rFonts w:hint="eastAsia" w:ascii="仿宋_GB2312" w:eastAsia="仿宋_GB2312" w:cs="Sim Sun"/>
          <w:kern w:val="0"/>
          <w:sz w:val="28"/>
          <w:szCs w:val="28"/>
        </w:rPr>
        <w:t>同一样品不同材质、不同色别或花型的</w:t>
      </w:r>
      <w:r>
        <w:rPr>
          <w:rFonts w:ascii="仿宋_GB2312" w:eastAsia="仿宋_GB2312" w:cs="Sim Sun"/>
          <w:kern w:val="0"/>
          <w:sz w:val="28"/>
          <w:szCs w:val="28"/>
        </w:rPr>
        <w:t>多组件组成</w:t>
      </w:r>
      <w:r>
        <w:rPr>
          <w:rFonts w:hint="eastAsia" w:ascii="仿宋_GB2312" w:eastAsia="仿宋_GB2312" w:cs="Sim Sun"/>
          <w:kern w:val="0"/>
          <w:sz w:val="28"/>
          <w:szCs w:val="28"/>
        </w:rPr>
        <w:t>的材料，需按不同组件分别取样检测各项目。对含多组件的产品，</w:t>
      </w:r>
      <w:r>
        <w:rPr>
          <w:rFonts w:ascii="仿宋_GB2312" w:eastAsia="仿宋_GB2312" w:cs="Sim Sun"/>
          <w:kern w:val="0"/>
          <w:sz w:val="28"/>
          <w:szCs w:val="28"/>
        </w:rPr>
        <w:t>重量不超过整件制品的1%的小型组件不考核</w:t>
      </w:r>
      <w:r>
        <w:rPr>
          <w:rFonts w:hint="eastAsia" w:ascii="仿宋_GB2312" w:eastAsia="仿宋_GB2312" w:cs="Sim Sun"/>
          <w:kern w:val="0"/>
          <w:sz w:val="28"/>
          <w:szCs w:val="28"/>
        </w:rPr>
        <w:t>(婴幼儿用品除外)。</w:t>
      </w:r>
    </w:p>
    <w:p>
      <w:pPr>
        <w:snapToGrid w:val="0"/>
        <w:spacing w:line="360" w:lineRule="auto"/>
        <w:ind w:firstLine="560" w:firstLineChars="200"/>
        <w:rPr>
          <w:rFonts w:ascii="仿宋_GB2312" w:eastAsia="仿宋_GB2312" w:cs="Sim Sun"/>
          <w:kern w:val="0"/>
          <w:sz w:val="28"/>
          <w:szCs w:val="28"/>
        </w:rPr>
      </w:pPr>
      <w:r>
        <w:rPr>
          <w:rFonts w:hint="eastAsia" w:ascii="仿宋_GB2312" w:eastAsia="仿宋_GB2312" w:cs="Sim Sun"/>
          <w:kern w:val="0"/>
          <w:sz w:val="28"/>
          <w:szCs w:val="28"/>
        </w:rPr>
        <w:t>样品有局部印花，若取样数量不能满足所有试验要求，应先取重金属和邻苯二甲酸酯试样，然后依次取</w:t>
      </w:r>
      <w:r>
        <w:rPr>
          <w:rFonts w:ascii="仿宋_GB2312" w:eastAsia="仿宋_GB2312" w:cs="Sim Sun"/>
          <w:kern w:val="0"/>
          <w:sz w:val="28"/>
          <w:szCs w:val="28"/>
        </w:rPr>
        <w:t>可分解致癌芳香胺染料</w:t>
      </w:r>
      <w:r>
        <w:rPr>
          <w:rFonts w:hint="eastAsia" w:ascii="仿宋_GB2312" w:eastAsia="仿宋_GB2312" w:cs="Sim Sun"/>
          <w:kern w:val="0"/>
          <w:sz w:val="28"/>
          <w:szCs w:val="28"/>
        </w:rPr>
        <w:t>、甲醛、色牢度、pH值试样。</w:t>
      </w:r>
    </w:p>
    <w:p>
      <w:pPr>
        <w:snapToGrid w:val="0"/>
        <w:spacing w:line="360" w:lineRule="auto"/>
        <w:ind w:firstLine="560" w:firstLineChars="200"/>
        <w:rPr>
          <w:rFonts w:ascii="仿宋_GB2312" w:eastAsia="仿宋_GB2312" w:cs="Sim Sun"/>
          <w:kern w:val="0"/>
          <w:sz w:val="28"/>
          <w:szCs w:val="28"/>
        </w:rPr>
      </w:pPr>
      <w:r>
        <w:rPr>
          <w:rFonts w:hint="eastAsia" w:ascii="仿宋_GB2312" w:eastAsia="仿宋_GB2312" w:cs="Sim Sun"/>
          <w:kern w:val="0"/>
          <w:sz w:val="28"/>
          <w:szCs w:val="28"/>
        </w:rPr>
        <w:t>样品有配料(拼料、辅料)的，若取样数量不能满足所有试验要求，应先取</w:t>
      </w:r>
      <w:r>
        <w:rPr>
          <w:rFonts w:ascii="仿宋_GB2312" w:eastAsia="仿宋_GB2312" w:cs="Sim Sun"/>
          <w:kern w:val="0"/>
          <w:sz w:val="28"/>
          <w:szCs w:val="28"/>
        </w:rPr>
        <w:t>可分解致癌芳香胺染料</w:t>
      </w:r>
      <w:r>
        <w:rPr>
          <w:rFonts w:hint="eastAsia" w:ascii="仿宋_GB2312" w:eastAsia="仿宋_GB2312" w:cs="Sim Sun"/>
          <w:kern w:val="0"/>
          <w:sz w:val="28"/>
          <w:szCs w:val="28"/>
        </w:rPr>
        <w:t>试样，然后依次取甲醛、色牢度、pH值试样。</w:t>
      </w:r>
    </w:p>
    <w:p>
      <w:pPr>
        <w:snapToGrid w:val="0"/>
        <w:spacing w:line="360" w:lineRule="auto"/>
        <w:rPr>
          <w:rFonts w:ascii="仿宋_GB2312" w:eastAsia="仿宋_GB2312" w:cs="Sim Sun"/>
          <w:kern w:val="0"/>
          <w:sz w:val="28"/>
          <w:szCs w:val="28"/>
        </w:rPr>
      </w:pPr>
      <w:r>
        <w:rPr>
          <w:rFonts w:hint="eastAsia" w:ascii="仿宋_GB2312" w:eastAsia="仿宋_GB2312" w:cs="Sim Sun"/>
          <w:b/>
          <w:kern w:val="0"/>
          <w:sz w:val="28"/>
          <w:szCs w:val="28"/>
        </w:rPr>
        <w:t>6.2.2</w:t>
      </w:r>
      <w:r>
        <w:rPr>
          <w:rFonts w:ascii="仿宋_GB2312" w:eastAsia="仿宋_GB2312" w:cs="Sim Sun"/>
          <w:kern w:val="0"/>
          <w:sz w:val="28"/>
          <w:szCs w:val="28"/>
        </w:rPr>
        <w:t xml:space="preserve"> pH值</w:t>
      </w:r>
      <w:r>
        <w:rPr>
          <w:rFonts w:hint="eastAsia" w:ascii="仿宋_GB2312" w:eastAsia="仿宋_GB2312" w:cs="Sim Sun"/>
          <w:kern w:val="0"/>
          <w:sz w:val="28"/>
          <w:szCs w:val="28"/>
        </w:rPr>
        <w:t>的测定用</w:t>
      </w:r>
      <w:r>
        <w:rPr>
          <w:rFonts w:ascii="仿宋_GB2312" w:eastAsia="仿宋_GB2312" w:cs="Sim Sun"/>
          <w:kern w:val="0"/>
          <w:sz w:val="28"/>
          <w:szCs w:val="28"/>
        </w:rPr>
        <w:t>0.1</w:t>
      </w:r>
      <w:r>
        <w:rPr>
          <w:rFonts w:hint="eastAsia" w:ascii="仿宋_GB2312" w:eastAsia="仿宋_GB2312" w:cs="Sim Sun"/>
          <w:kern w:val="0"/>
          <w:sz w:val="28"/>
          <w:szCs w:val="28"/>
        </w:rPr>
        <w:t xml:space="preserve"> </w:t>
      </w:r>
      <w:r>
        <w:rPr>
          <w:rFonts w:ascii="仿宋_GB2312" w:eastAsia="仿宋_GB2312" w:cs="Sim Sun"/>
          <w:kern w:val="0"/>
          <w:sz w:val="28"/>
          <w:szCs w:val="28"/>
        </w:rPr>
        <w:t>mol/L</w:t>
      </w:r>
      <w:r>
        <w:rPr>
          <w:rFonts w:hint="eastAsia" w:ascii="仿宋_GB2312" w:eastAsia="仿宋_GB2312" w:cs="Sim Sun"/>
          <w:kern w:val="0"/>
          <w:sz w:val="28"/>
          <w:szCs w:val="28"/>
        </w:rPr>
        <w:t>氯化钾溶液作为萃取介质，产品标准另有规定的按相应要求执行。</w:t>
      </w:r>
    </w:p>
    <w:p>
      <w:pPr>
        <w:snapToGrid w:val="0"/>
        <w:spacing w:line="360" w:lineRule="auto"/>
        <w:rPr>
          <w:rFonts w:ascii="仿宋_GB2312" w:eastAsia="仿宋_GB2312" w:cs="Sim Sun"/>
          <w:kern w:val="0"/>
          <w:sz w:val="28"/>
          <w:szCs w:val="28"/>
        </w:rPr>
      </w:pPr>
      <w:r>
        <w:rPr>
          <w:rFonts w:hint="eastAsia" w:ascii="仿宋_GB2312" w:eastAsia="仿宋_GB2312" w:cs="Sim Sun"/>
          <w:b/>
          <w:kern w:val="0"/>
          <w:sz w:val="28"/>
          <w:szCs w:val="28"/>
        </w:rPr>
        <w:t xml:space="preserve">6.2.3 </w:t>
      </w:r>
      <w:r>
        <w:rPr>
          <w:rFonts w:ascii="仿宋_GB2312" w:eastAsia="仿宋_GB2312" w:cs="Sim Sun"/>
          <w:kern w:val="0"/>
          <w:sz w:val="28"/>
          <w:szCs w:val="28"/>
        </w:rPr>
        <w:t>可分解致癌芳香胺染料检测</w:t>
      </w:r>
      <w:r>
        <w:rPr>
          <w:rFonts w:hint="eastAsia" w:ascii="仿宋_GB2312" w:eastAsia="仿宋_GB2312" w:cs="Sim Sun"/>
          <w:kern w:val="0"/>
          <w:sz w:val="28"/>
          <w:szCs w:val="28"/>
        </w:rPr>
        <w:t>采用GC/MS内标法。出现阳性结果时按GB/T 17592进行确认，建议用HPLC/DAD进行确认。含涂层、粘合剂或氨纶的产品一般不作预处理，即涂层、粘合剂不刮除，氨纶不拆出。对未经过染色或印花工艺的产品可不检测</w:t>
      </w:r>
      <w:r>
        <w:rPr>
          <w:rFonts w:ascii="仿宋_GB2312" w:eastAsia="仿宋_GB2312" w:cs="Sim Sun"/>
          <w:kern w:val="0"/>
          <w:sz w:val="28"/>
          <w:szCs w:val="28"/>
        </w:rPr>
        <w:t>可分解致癌芳香胺染料</w:t>
      </w:r>
      <w:r>
        <w:rPr>
          <w:rFonts w:hint="eastAsia" w:ascii="仿宋_GB2312" w:eastAsia="仿宋_GB2312" w:cs="Sim Sun"/>
          <w:kern w:val="0"/>
          <w:sz w:val="28"/>
          <w:szCs w:val="28"/>
        </w:rPr>
        <w:t>。</w:t>
      </w:r>
    </w:p>
    <w:p>
      <w:pPr>
        <w:snapToGrid w:val="0"/>
        <w:spacing w:line="360" w:lineRule="auto"/>
        <w:rPr>
          <w:rFonts w:ascii="仿宋_GB2312" w:eastAsia="仿宋_GB2312" w:cs="Sim Sun"/>
          <w:kern w:val="0"/>
          <w:sz w:val="28"/>
          <w:szCs w:val="28"/>
        </w:rPr>
      </w:pPr>
      <w:r>
        <w:rPr>
          <w:rFonts w:hint="eastAsia" w:ascii="仿宋_GB2312" w:eastAsia="仿宋_GB2312" w:cs="Sim Sun"/>
          <w:b/>
          <w:kern w:val="0"/>
          <w:sz w:val="28"/>
          <w:szCs w:val="28"/>
        </w:rPr>
        <w:t>6.2.4</w:t>
      </w:r>
      <w:r>
        <w:rPr>
          <w:rFonts w:hint="eastAsia" w:ascii="仿宋_GB2312" w:eastAsia="仿宋_GB2312" w:cs="Sim Sun"/>
          <w:kern w:val="0"/>
          <w:sz w:val="28"/>
          <w:szCs w:val="28"/>
        </w:rPr>
        <w:t xml:space="preserve"> 色牢度试验采用单纤维贴衬。</w:t>
      </w:r>
    </w:p>
    <w:p>
      <w:pPr>
        <w:snapToGrid w:val="0"/>
        <w:spacing w:line="360" w:lineRule="auto"/>
        <w:rPr>
          <w:rFonts w:ascii="仿宋_GB2312" w:eastAsia="仿宋_GB2312" w:cs="Sim Sun"/>
          <w:kern w:val="0"/>
          <w:sz w:val="28"/>
          <w:szCs w:val="28"/>
        </w:rPr>
      </w:pPr>
      <w:r>
        <w:rPr>
          <w:rFonts w:hint="eastAsia" w:ascii="仿宋_GB2312" w:eastAsia="仿宋_GB2312" w:cs="Sim Sun"/>
          <w:b/>
          <w:kern w:val="0"/>
          <w:sz w:val="28"/>
          <w:szCs w:val="28"/>
        </w:rPr>
        <w:t xml:space="preserve">6.2.5 </w:t>
      </w:r>
      <w:r>
        <w:rPr>
          <w:rFonts w:hint="eastAsia" w:ascii="仿宋_GB2312" w:eastAsia="仿宋_GB2312" w:cs="Sim Sun"/>
          <w:kern w:val="0"/>
          <w:sz w:val="28"/>
          <w:szCs w:val="28"/>
        </w:rPr>
        <w:t>考虑到样品存在的不均匀性和检验的可靠性，样品中检测出微量其他纤维（未明示）时，如果其他纤维（未明示）的含量≤1%，或样品明示含微量其他纤维而未检出时，该微量其他纤维不计入总量进行判定。</w:t>
      </w:r>
    </w:p>
    <w:p>
      <w:pPr>
        <w:snapToGrid w:val="0"/>
        <w:spacing w:line="360" w:lineRule="auto"/>
        <w:rPr>
          <w:rFonts w:ascii="仿宋_GB2312" w:eastAsia="仿宋_GB2312" w:cs="Sim Sun"/>
          <w:kern w:val="0"/>
          <w:sz w:val="28"/>
          <w:szCs w:val="28"/>
        </w:rPr>
      </w:pPr>
      <w:r>
        <w:rPr>
          <w:rFonts w:hint="eastAsia" w:ascii="仿宋_GB2312" w:eastAsia="仿宋_GB2312" w:cs="Sim Sun"/>
          <w:b/>
          <w:bCs/>
          <w:kern w:val="0"/>
          <w:sz w:val="28"/>
          <w:szCs w:val="28"/>
        </w:rPr>
        <w:t>6.2.6</w:t>
      </w:r>
      <w:r>
        <w:rPr>
          <w:rFonts w:hint="eastAsia" w:ascii="仿宋_GB2312" w:eastAsia="仿宋_GB2312" w:cs="Sim Sun"/>
          <w:kern w:val="0"/>
          <w:sz w:val="28"/>
          <w:szCs w:val="28"/>
        </w:rPr>
        <w:t>纤维含量仅考核产品明示标注有纤维含量信息的产品，若使用说明中存在多种形式的纤维含量信息标注不一致时，则需按照各种形式标注的信息进行综合判定。</w:t>
      </w:r>
    </w:p>
    <w:p>
      <w:pPr>
        <w:snapToGrid w:val="0"/>
        <w:spacing w:line="360" w:lineRule="auto"/>
        <w:rPr>
          <w:rFonts w:ascii="仿宋_GB2312" w:eastAsia="仿宋_GB2312" w:cs="Sim Sun"/>
          <w:kern w:val="0"/>
          <w:sz w:val="28"/>
          <w:szCs w:val="28"/>
        </w:rPr>
      </w:pPr>
      <w:r>
        <w:rPr>
          <w:rFonts w:hint="eastAsia" w:ascii="仿宋_GB2312" w:eastAsia="仿宋_GB2312" w:cs="Sim Sun"/>
          <w:b/>
          <w:bCs/>
          <w:kern w:val="0"/>
          <w:sz w:val="28"/>
          <w:szCs w:val="28"/>
        </w:rPr>
        <w:t>6.2.7</w:t>
      </w:r>
      <w:r>
        <w:rPr>
          <w:rFonts w:hint="eastAsia" w:ascii="仿宋_GB2312" w:eastAsia="仿宋_GB2312" w:cs="Sim Sun"/>
          <w:kern w:val="0"/>
          <w:sz w:val="28"/>
          <w:szCs w:val="28"/>
        </w:rPr>
        <w:t>产品标明安全类别的，按明示分类进行归类考核；产品未标明安全类别或明示分类明显不符合</w:t>
      </w:r>
      <w:r>
        <w:rPr>
          <w:rFonts w:ascii="仿宋_GB2312" w:eastAsia="仿宋_GB2312" w:cs="Sim Sun"/>
          <w:kern w:val="0"/>
          <w:sz w:val="28"/>
          <w:szCs w:val="28"/>
        </w:rPr>
        <w:t>GB 18401</w:t>
      </w:r>
      <w:r>
        <w:rPr>
          <w:rFonts w:hint="eastAsia" w:ascii="仿宋_GB2312" w:eastAsia="仿宋_GB2312" w:cs="Sim Sun"/>
          <w:kern w:val="0"/>
          <w:sz w:val="28"/>
          <w:szCs w:val="28"/>
        </w:rPr>
        <w:t>（或</w:t>
      </w:r>
      <w:r>
        <w:rPr>
          <w:rFonts w:ascii="仿宋_GB2312" w:eastAsia="仿宋_GB2312" w:cs="Sim Sun"/>
          <w:kern w:val="0"/>
          <w:sz w:val="28"/>
          <w:szCs w:val="28"/>
        </w:rPr>
        <w:t>GB 31701</w:t>
      </w:r>
      <w:r>
        <w:rPr>
          <w:rFonts w:hint="eastAsia" w:ascii="仿宋_GB2312" w:eastAsia="仿宋_GB2312" w:cs="Sim Sun"/>
          <w:kern w:val="0"/>
          <w:sz w:val="28"/>
          <w:szCs w:val="28"/>
        </w:rPr>
        <w:t>）标准分类方法时，按</w:t>
      </w:r>
      <w:r>
        <w:rPr>
          <w:rFonts w:ascii="仿宋_GB2312" w:eastAsia="仿宋_GB2312" w:cs="Sim Sun"/>
          <w:kern w:val="0"/>
          <w:sz w:val="28"/>
          <w:szCs w:val="28"/>
        </w:rPr>
        <w:t>GB 18401</w:t>
      </w:r>
      <w:r>
        <w:rPr>
          <w:rFonts w:hint="eastAsia" w:ascii="仿宋_GB2312" w:eastAsia="仿宋_GB2312" w:cs="Sim Sun"/>
          <w:kern w:val="0"/>
          <w:sz w:val="28"/>
          <w:szCs w:val="28"/>
        </w:rPr>
        <w:t>（或</w:t>
      </w:r>
      <w:r>
        <w:rPr>
          <w:rFonts w:ascii="仿宋_GB2312" w:eastAsia="仿宋_GB2312" w:cs="Sim Sun"/>
          <w:kern w:val="0"/>
          <w:sz w:val="28"/>
          <w:szCs w:val="28"/>
        </w:rPr>
        <w:t>GB 31701</w:t>
      </w:r>
      <w:r>
        <w:rPr>
          <w:rFonts w:hint="eastAsia" w:ascii="仿宋_GB2312" w:eastAsia="仿宋_GB2312" w:cs="Sim Sun"/>
          <w:kern w:val="0"/>
          <w:sz w:val="28"/>
          <w:szCs w:val="28"/>
        </w:rPr>
        <w:t>）标准规定的产品分类方法进行归类考核。</w:t>
      </w:r>
    </w:p>
    <w:p>
      <w:pPr>
        <w:snapToGrid w:val="0"/>
        <w:spacing w:line="360" w:lineRule="auto"/>
        <w:rPr>
          <w:rFonts w:ascii="仿宋_GB2312" w:eastAsia="仿宋_GB2312" w:cs="Sim Sun"/>
          <w:color w:val="000000" w:themeColor="text1"/>
          <w:kern w:val="0"/>
          <w:sz w:val="28"/>
          <w:szCs w:val="28"/>
        </w:rPr>
      </w:pPr>
      <w:r>
        <w:rPr>
          <w:rFonts w:hint="eastAsia" w:ascii="仿宋_GB2312" w:eastAsia="仿宋_GB2312" w:cs="Sim Sun"/>
          <w:b/>
          <w:color w:val="000000" w:themeColor="text1"/>
          <w:kern w:val="0"/>
          <w:sz w:val="28"/>
          <w:szCs w:val="28"/>
        </w:rPr>
        <w:t>6.2.8</w:t>
      </w:r>
      <w:r>
        <w:rPr>
          <w:rFonts w:hint="eastAsia" w:ascii="仿宋_GB2312" w:eastAsia="仿宋_GB2312" w:cs="Sim Sun"/>
          <w:color w:val="000000" w:themeColor="text1"/>
          <w:kern w:val="0"/>
          <w:sz w:val="28"/>
          <w:szCs w:val="28"/>
        </w:rPr>
        <w:t>检验机构接收样品应当有专人负责检查、记录样品的外观、状态、封条有无破损及其他可能对检测结果或者综合判定产生影响的情况，并确认样品与抽样单的记录是否相符，对检测和备用样品分别加贴相应标识后入库。</w:t>
      </w:r>
    </w:p>
    <w:p>
      <w:pPr>
        <w:spacing w:line="360" w:lineRule="auto"/>
        <w:rPr>
          <w:rFonts w:ascii="仿宋_GB2312" w:eastAsia="仿宋_GB2312"/>
          <w:color w:val="000000" w:themeColor="text1"/>
          <w:sz w:val="28"/>
          <w:szCs w:val="28"/>
        </w:rPr>
      </w:pPr>
      <w:r>
        <w:rPr>
          <w:rFonts w:hint="eastAsia" w:ascii="仿宋_GB2312" w:eastAsia="仿宋_GB2312"/>
          <w:b/>
          <w:color w:val="000000" w:themeColor="text1"/>
          <w:sz w:val="28"/>
          <w:szCs w:val="28"/>
        </w:rPr>
        <w:t>6.2.9</w:t>
      </w:r>
      <w:r>
        <w:rPr>
          <w:rFonts w:hint="eastAsia" w:ascii="仿宋_GB2312" w:eastAsia="仿宋_GB2312"/>
          <w:color w:val="000000" w:themeColor="text1"/>
          <w:sz w:val="28"/>
          <w:szCs w:val="28"/>
        </w:rPr>
        <w:t>若被检产品明示的质量要求高于或包含本规范中检验项目依据的标准要求时，应按被检产品明示的质量要求判定。</w:t>
      </w:r>
    </w:p>
    <w:p>
      <w:pPr>
        <w:spacing w:line="360" w:lineRule="auto"/>
        <w:ind w:firstLine="560" w:firstLineChars="200"/>
        <w:rPr>
          <w:rFonts w:ascii="仿宋_GB2312" w:eastAsia="仿宋_GB2312"/>
          <w:color w:val="000000" w:themeColor="text1"/>
          <w:sz w:val="28"/>
          <w:szCs w:val="28"/>
        </w:rPr>
      </w:pPr>
      <w:r>
        <w:rPr>
          <w:rFonts w:hint="eastAsia" w:ascii="仿宋_GB2312" w:eastAsia="仿宋_GB2312"/>
          <w:color w:val="000000" w:themeColor="text1"/>
          <w:sz w:val="28"/>
          <w:szCs w:val="28"/>
        </w:rPr>
        <w:t>若被检产品明示的质量要求低于或缺少本规范中检验项目依据的强制性标准要求时，应按照强制性标准要求判定。</w:t>
      </w:r>
    </w:p>
    <w:p>
      <w:pPr>
        <w:spacing w:line="360" w:lineRule="auto"/>
        <w:ind w:firstLine="560" w:firstLineChars="200"/>
        <w:rPr>
          <w:rFonts w:ascii="仿宋_GB2312" w:eastAsia="仿宋_GB2312"/>
          <w:color w:val="000000" w:themeColor="text1"/>
          <w:sz w:val="28"/>
          <w:szCs w:val="28"/>
        </w:rPr>
      </w:pPr>
      <w:r>
        <w:rPr>
          <w:rFonts w:hint="eastAsia" w:ascii="仿宋_GB2312" w:eastAsia="仿宋_GB2312"/>
          <w:color w:val="000000" w:themeColor="text1"/>
          <w:sz w:val="28"/>
          <w:szCs w:val="28"/>
        </w:rPr>
        <w:t>若被检产品明示的质量要求低于或包含本规范中检验项目依据的推荐性标准要求时，应以被检产品明示的质量要求判定。</w:t>
      </w:r>
    </w:p>
    <w:p>
      <w:pPr>
        <w:spacing w:line="360" w:lineRule="auto"/>
        <w:ind w:firstLine="560" w:firstLineChars="200"/>
        <w:rPr>
          <w:rFonts w:ascii="仿宋_GB2312" w:eastAsia="仿宋_GB2312"/>
          <w:color w:val="000000" w:themeColor="text1"/>
          <w:sz w:val="28"/>
          <w:szCs w:val="28"/>
        </w:rPr>
      </w:pPr>
      <w:r>
        <w:rPr>
          <w:rFonts w:hint="eastAsia" w:ascii="仿宋_GB2312" w:eastAsia="仿宋_GB2312"/>
          <w:color w:val="000000" w:themeColor="text1"/>
          <w:sz w:val="28"/>
          <w:szCs w:val="28"/>
        </w:rPr>
        <w:t>若被检产品明示的质量要求缺少本规范中检验项目依据的强制性标准要求时，应按照强制性标准要求判定。</w:t>
      </w:r>
    </w:p>
    <w:p>
      <w:pPr>
        <w:snapToGrid w:val="0"/>
        <w:spacing w:line="360" w:lineRule="auto"/>
        <w:rPr>
          <w:rFonts w:ascii="仿宋_GB2312" w:eastAsia="仿宋_GB2312" w:cs="Sim Sun"/>
          <w:b/>
          <w:color w:val="000000" w:themeColor="text1"/>
          <w:kern w:val="0"/>
          <w:sz w:val="28"/>
          <w:szCs w:val="28"/>
        </w:rPr>
      </w:pPr>
      <w:r>
        <w:rPr>
          <w:rFonts w:hint="eastAsia" w:ascii="仿宋_GB2312" w:eastAsia="仿宋_GB2312" w:cs="Sim Sun"/>
          <w:b/>
          <w:color w:val="000000" w:themeColor="text1"/>
          <w:kern w:val="0"/>
          <w:sz w:val="28"/>
          <w:szCs w:val="28"/>
        </w:rPr>
        <w:t>7 判定原则</w:t>
      </w:r>
    </w:p>
    <w:p>
      <w:pPr>
        <w:snapToGrid w:val="0"/>
        <w:spacing w:line="360" w:lineRule="auto"/>
        <w:ind w:firstLine="560" w:firstLineChars="200"/>
        <w:rPr>
          <w:rFonts w:ascii="仿宋_GB2312" w:eastAsia="仿宋_GB2312" w:cs="Sim Sun"/>
          <w:color w:val="000000" w:themeColor="text1"/>
          <w:kern w:val="0"/>
          <w:sz w:val="28"/>
          <w:szCs w:val="28"/>
        </w:rPr>
      </w:pPr>
      <w:r>
        <w:rPr>
          <w:rFonts w:hint="eastAsia" w:ascii="仿宋_GB2312" w:eastAsia="仿宋_GB2312" w:cs="Sim Sun"/>
          <w:color w:val="000000" w:themeColor="text1"/>
          <w:kern w:val="0"/>
          <w:sz w:val="28"/>
          <w:szCs w:val="28"/>
        </w:rPr>
        <w:t>经检验，所检样品全部项目合格，判该产品本次监督抽查结果合格；反之，判该产品本次监督抽查结果不合格。当产品没有标注执行推荐性标准，推荐性项目仅报实测值，不参与判定。</w:t>
      </w:r>
    </w:p>
    <w:p>
      <w:pPr>
        <w:snapToGrid w:val="0"/>
        <w:spacing w:line="360" w:lineRule="auto"/>
        <w:rPr>
          <w:rFonts w:ascii="仿宋_GB2312" w:eastAsia="仿宋_GB2312" w:cs="Sim Sun"/>
          <w:b/>
          <w:color w:val="000000" w:themeColor="text1"/>
          <w:kern w:val="0"/>
          <w:sz w:val="28"/>
          <w:szCs w:val="28"/>
        </w:rPr>
      </w:pPr>
      <w:r>
        <w:rPr>
          <w:rFonts w:hint="eastAsia" w:ascii="仿宋_GB2312" w:eastAsia="仿宋_GB2312" w:cs="Sim Sun"/>
          <w:b/>
          <w:color w:val="000000" w:themeColor="text1"/>
          <w:kern w:val="0"/>
          <w:sz w:val="28"/>
          <w:szCs w:val="28"/>
        </w:rPr>
        <w:t>8 异议处理复检</w:t>
      </w:r>
    </w:p>
    <w:p>
      <w:pPr>
        <w:snapToGrid w:val="0"/>
        <w:spacing w:line="360" w:lineRule="auto"/>
        <w:rPr>
          <w:rFonts w:ascii="仿宋_GB2312" w:hAnsi="宋体" w:eastAsia="仿宋_GB2312"/>
          <w:iCs/>
          <w:color w:val="000000" w:themeColor="text1"/>
          <w:sz w:val="28"/>
          <w:szCs w:val="28"/>
        </w:rPr>
      </w:pPr>
      <w:r>
        <w:rPr>
          <w:rFonts w:hint="eastAsia" w:ascii="仿宋_GB2312" w:hAnsi="宋体" w:eastAsia="仿宋_GB2312"/>
          <w:b/>
          <w:iCs/>
          <w:color w:val="000000" w:themeColor="text1"/>
          <w:sz w:val="28"/>
          <w:szCs w:val="28"/>
        </w:rPr>
        <w:t>8.1</w:t>
      </w:r>
      <w:r>
        <w:rPr>
          <w:rFonts w:hint="eastAsia" w:ascii="仿宋_GB2312" w:hAnsi="宋体" w:eastAsia="仿宋_GB2312"/>
          <w:iCs/>
          <w:color w:val="000000" w:themeColor="text1"/>
          <w:sz w:val="28"/>
          <w:szCs w:val="28"/>
        </w:rPr>
        <w:t xml:space="preserve"> 被抽查企业在收到检验结果，对结果有异议时，可以自收到检验结果之日起15日内向深圳市市场监督管理局提出书面复检申请。逾期未提出异议的，视为承认检验结果。</w:t>
      </w:r>
    </w:p>
    <w:p>
      <w:pPr>
        <w:snapToGrid w:val="0"/>
        <w:spacing w:line="360" w:lineRule="auto"/>
        <w:rPr>
          <w:rFonts w:ascii="仿宋_GB2312" w:hAnsi="宋体" w:eastAsia="仿宋_GB2312"/>
          <w:iCs/>
          <w:color w:val="000000" w:themeColor="text1"/>
          <w:sz w:val="28"/>
          <w:szCs w:val="28"/>
        </w:rPr>
      </w:pPr>
      <w:r>
        <w:rPr>
          <w:rFonts w:hint="eastAsia" w:ascii="仿宋_GB2312" w:hAnsi="宋体" w:eastAsia="仿宋_GB2312"/>
          <w:b/>
          <w:iCs/>
          <w:color w:val="000000" w:themeColor="text1"/>
          <w:sz w:val="28"/>
          <w:szCs w:val="28"/>
        </w:rPr>
        <w:t>8.2</w:t>
      </w:r>
      <w:r>
        <w:rPr>
          <w:rFonts w:hint="eastAsia" w:ascii="仿宋_GB2312" w:hAnsi="宋体" w:eastAsia="仿宋_GB2312"/>
          <w:iCs/>
          <w:color w:val="000000" w:themeColor="text1"/>
          <w:sz w:val="28"/>
          <w:szCs w:val="28"/>
        </w:rPr>
        <w:t xml:space="preserve"> 检验机构接到深圳市市场监督管理局的复检通知书后应当按原监督抽查方案，核查不合格项目相关依据，能够以记录（纸质记录或电子记录或影像记录）、或与不合格项目相关联的其它质量数据等检验证据证明，并得到被检方认可的，做出维持原检验结果的结论。</w:t>
      </w:r>
    </w:p>
    <w:p>
      <w:pPr>
        <w:snapToGrid w:val="0"/>
        <w:spacing w:line="360" w:lineRule="auto"/>
        <w:rPr>
          <w:rFonts w:ascii="仿宋_GB2312" w:hAnsi="宋体" w:eastAsia="仿宋_GB2312"/>
          <w:iCs/>
          <w:color w:val="000000" w:themeColor="text1"/>
          <w:sz w:val="28"/>
          <w:szCs w:val="28"/>
        </w:rPr>
      </w:pPr>
      <w:r>
        <w:rPr>
          <w:rFonts w:hint="eastAsia" w:ascii="仿宋_GB2312" w:hAnsi="宋体" w:eastAsia="仿宋_GB2312"/>
          <w:b/>
          <w:iCs/>
          <w:color w:val="000000" w:themeColor="text1"/>
          <w:sz w:val="28"/>
          <w:szCs w:val="28"/>
        </w:rPr>
        <w:t>8.3</w:t>
      </w:r>
      <w:r>
        <w:rPr>
          <w:rFonts w:hint="eastAsia" w:ascii="仿宋_GB2312" w:hAnsi="宋体" w:eastAsia="仿宋_GB2312"/>
          <w:iCs/>
          <w:color w:val="000000" w:themeColor="text1"/>
          <w:sz w:val="28"/>
          <w:szCs w:val="28"/>
        </w:rPr>
        <w:t xml:space="preserve"> 复验检验人员与初检检验人员不得为同一人。</w:t>
      </w:r>
    </w:p>
    <w:p>
      <w:pPr>
        <w:snapToGrid w:val="0"/>
        <w:spacing w:line="360" w:lineRule="auto"/>
        <w:rPr>
          <w:rFonts w:ascii="仿宋_GB2312" w:hAnsi="宋体" w:eastAsia="仿宋_GB2312"/>
          <w:iCs/>
          <w:color w:val="000000" w:themeColor="text1"/>
          <w:sz w:val="28"/>
          <w:szCs w:val="28"/>
        </w:rPr>
      </w:pPr>
      <w:r>
        <w:rPr>
          <w:rFonts w:hint="eastAsia" w:ascii="仿宋_GB2312" w:hAnsi="宋体" w:eastAsia="仿宋_GB2312"/>
          <w:b/>
          <w:iCs/>
          <w:color w:val="000000" w:themeColor="text1"/>
          <w:sz w:val="28"/>
          <w:szCs w:val="28"/>
        </w:rPr>
        <w:t>8.4</w:t>
      </w:r>
      <w:r>
        <w:rPr>
          <w:rFonts w:hint="eastAsia" w:ascii="仿宋_GB2312" w:hAnsi="宋体" w:eastAsia="仿宋_GB2312"/>
          <w:iCs/>
          <w:color w:val="000000" w:themeColor="text1"/>
          <w:sz w:val="28"/>
          <w:szCs w:val="28"/>
        </w:rPr>
        <w:t>需对不合格项目复验时，按6.1选择复验样品。当复验结果仍不合格，维持原检验结果不变。当复验结果合格，以复验结果为准。</w:t>
      </w:r>
    </w:p>
    <w:p>
      <w:pPr>
        <w:snapToGrid w:val="0"/>
        <w:spacing w:line="360" w:lineRule="auto"/>
        <w:rPr>
          <w:rFonts w:ascii="仿宋_GB2312" w:hAnsi="宋体" w:eastAsia="仿宋_GB2312"/>
          <w:iCs/>
          <w:color w:val="000000" w:themeColor="text1"/>
          <w:sz w:val="28"/>
          <w:szCs w:val="28"/>
        </w:rPr>
      </w:pPr>
      <w:r>
        <w:rPr>
          <w:rFonts w:hint="eastAsia" w:ascii="仿宋_GB2312" w:hAnsi="宋体" w:eastAsia="仿宋_GB2312"/>
          <w:b/>
          <w:iCs/>
          <w:color w:val="000000" w:themeColor="text1"/>
          <w:sz w:val="28"/>
          <w:szCs w:val="28"/>
        </w:rPr>
        <w:t>8.5</w:t>
      </w:r>
      <w:r>
        <w:rPr>
          <w:rFonts w:hint="eastAsia" w:ascii="仿宋_GB2312" w:hAnsi="宋体" w:eastAsia="仿宋_GB2312"/>
          <w:iCs/>
          <w:color w:val="000000" w:themeColor="text1"/>
          <w:sz w:val="28"/>
          <w:szCs w:val="28"/>
        </w:rPr>
        <w:t xml:space="preserve"> 深圳市市场监督管理局根据初检、复验结果及企业提交的证明材料，做出复检结论，复检结论为最终结论。</w:t>
      </w:r>
    </w:p>
    <w:p>
      <w:pPr>
        <w:snapToGrid w:val="0"/>
        <w:spacing w:line="360" w:lineRule="auto"/>
        <w:rPr>
          <w:rFonts w:ascii="仿宋_GB2312" w:hAnsi="宋体" w:eastAsia="仿宋_GB2312"/>
          <w:b/>
          <w:color w:val="000000" w:themeColor="text1"/>
          <w:sz w:val="28"/>
          <w:szCs w:val="28"/>
        </w:rPr>
      </w:pPr>
      <w:r>
        <w:rPr>
          <w:rFonts w:hint="eastAsia" w:ascii="仿宋_GB2312" w:hAnsi="宋体" w:eastAsia="仿宋_GB2312"/>
          <w:b/>
          <w:color w:val="000000" w:themeColor="text1"/>
          <w:sz w:val="28"/>
          <w:szCs w:val="28"/>
        </w:rPr>
        <w:t>9</w:t>
      </w:r>
      <w:r>
        <w:rPr>
          <w:rFonts w:hint="eastAsia" w:ascii="仿宋_GB2312" w:hAnsi="宋体" w:eastAsia="仿宋_GB2312"/>
          <w:b/>
          <w:color w:val="000000" w:themeColor="text1"/>
          <w:sz w:val="28"/>
          <w:szCs w:val="28"/>
        </w:rPr>
        <w:tab/>
      </w:r>
      <w:r>
        <w:rPr>
          <w:rFonts w:hint="eastAsia" w:ascii="仿宋_GB2312" w:hAnsi="宋体" w:eastAsia="仿宋_GB2312"/>
          <w:b/>
          <w:color w:val="000000" w:themeColor="text1"/>
          <w:sz w:val="28"/>
          <w:szCs w:val="28"/>
        </w:rPr>
        <w:t>附则</w:t>
      </w:r>
    </w:p>
    <w:p>
      <w:pPr>
        <w:snapToGrid w:val="0"/>
        <w:spacing w:line="360" w:lineRule="auto"/>
        <w:ind w:firstLine="560" w:firstLineChars="200"/>
        <w:rPr>
          <w:rFonts w:ascii="仿宋_GB2312" w:hAnsi="宋体" w:eastAsia="仿宋_GB2312"/>
          <w:iCs/>
          <w:color w:val="000000" w:themeColor="text1"/>
          <w:sz w:val="28"/>
          <w:szCs w:val="28"/>
        </w:rPr>
      </w:pPr>
      <w:r>
        <w:rPr>
          <w:rFonts w:hint="eastAsia" w:ascii="仿宋_GB2312" w:hAnsi="宋体" w:eastAsia="仿宋_GB2312"/>
          <w:iCs/>
          <w:color w:val="000000" w:themeColor="text1"/>
          <w:sz w:val="28"/>
          <w:szCs w:val="28"/>
        </w:rPr>
        <w:t>本规范编制单位：深圳市计量质量检测研究院。</w:t>
      </w:r>
    </w:p>
    <w:p>
      <w:pPr>
        <w:snapToGrid w:val="0"/>
        <w:spacing w:line="360" w:lineRule="auto"/>
        <w:ind w:firstLine="560" w:firstLineChars="200"/>
        <w:rPr>
          <w:rFonts w:ascii="仿宋_GB2312" w:hAnsi="宋体" w:eastAsia="仿宋_GB2312"/>
          <w:iCs/>
          <w:color w:val="000000" w:themeColor="text1"/>
          <w:sz w:val="28"/>
          <w:szCs w:val="28"/>
        </w:rPr>
      </w:pPr>
      <w:r>
        <w:rPr>
          <w:rFonts w:hint="eastAsia" w:ascii="仿宋_GB2312" w:hAnsi="宋体" w:eastAsia="仿宋_GB2312"/>
          <w:iCs/>
          <w:color w:val="000000" w:themeColor="text1"/>
          <w:sz w:val="28"/>
          <w:szCs w:val="28"/>
        </w:rPr>
        <w:t>本规范由深圳市市场监督管理局质量处管理。</w:t>
      </w:r>
    </w:p>
    <w:p>
      <w:pPr>
        <w:widowControl/>
        <w:jc w:val="left"/>
      </w:pPr>
      <w:bookmarkStart w:id="0" w:name="_GoBack"/>
      <w:bookmarkEnd w:id="0"/>
    </w:p>
    <w:sectPr>
      <w:headerReference r:id="rId4" w:type="first"/>
      <w:headerReference r:id="rId3" w:type="default"/>
      <w:footerReference r:id="rId5" w:type="default"/>
      <w:pgSz w:w="11906" w:h="16838"/>
      <w:pgMar w:top="1588" w:right="1474" w:bottom="1588" w:left="1474"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ˎ̥">
    <w:altName w:val="Times New Roman"/>
    <w:panose1 w:val="00000000000000000000"/>
    <w:charset w:val="00"/>
    <w:family w:val="roman"/>
    <w:pitch w:val="default"/>
    <w:sig w:usb0="00000000" w:usb1="00000000" w:usb2="00000000" w:usb3="00000000" w:csb0="00000000" w:csb1="00000000"/>
  </w:font>
  <w:font w:name="Wingdings 2">
    <w:panose1 w:val="05020102010507070707"/>
    <w:charset w:val="02"/>
    <w:family w:val="roman"/>
    <w:pitch w:val="default"/>
    <w:sig w:usb0="00000000" w:usb1="00000000" w:usb2="00000000" w:usb3="00000000" w:csb0="80000000" w:csb1="00000000"/>
  </w:font>
  <w:font w:name="Sim Sun">
    <w:altName w:val="仿宋_GB2312"/>
    <w:panose1 w:val="00000000000000000000"/>
    <w:charset w:val="86"/>
    <w:family w:val="swiss"/>
    <w:pitch w:val="default"/>
    <w:sig w:usb0="00000000" w:usb1="00000000" w:usb2="00000010" w:usb3="00000000" w:csb0="00040000" w:csb1="00000000"/>
  </w:font>
  <w:font w:name="Calibri Light">
    <w:panose1 w:val="020F0302020204030204"/>
    <w:charset w:val="00"/>
    <w:family w:val="swiss"/>
    <w:pitch w:val="default"/>
    <w:sig w:usb0="A00002EF" w:usb1="4000207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rPr>
        <w:rFonts w:ascii="宋体" w:hAnsi="宋体"/>
        <w:b w:val="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rPr>
        <w:rFonts w:ascii="宋体" w:hAnsi="宋体"/>
        <w:b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F71A0A"/>
    <w:multiLevelType w:val="multilevel"/>
    <w:tmpl w:val="47F71A0A"/>
    <w:lvl w:ilvl="0" w:tentative="0">
      <w:start w:val="1"/>
      <w:numFmt w:val="decimal"/>
      <w:pStyle w:val="39"/>
      <w:lvlText w:val="%1"/>
      <w:lvlJc w:val="left"/>
      <w:pPr>
        <w:ind w:left="425" w:hanging="425"/>
      </w:pPr>
      <w:rPr>
        <w:rFonts w:hint="eastAsia" w:cs="Times New Roman"/>
      </w:rPr>
    </w:lvl>
    <w:lvl w:ilvl="1" w:tentative="0">
      <w:start w:val="1"/>
      <w:numFmt w:val="decimal"/>
      <w:pStyle w:val="40"/>
      <w:lvlText w:val="%1.%2"/>
      <w:lvlJc w:val="left"/>
      <w:pPr>
        <w:ind w:left="677" w:hanging="567"/>
      </w:pPr>
      <w:rPr>
        <w:rFonts w:hint="eastAsia" w:cs="Times New Roman"/>
      </w:rPr>
    </w:lvl>
    <w:lvl w:ilvl="2" w:tentative="0">
      <w:start w:val="1"/>
      <w:numFmt w:val="decimal"/>
      <w:pStyle w:val="41"/>
      <w:lvlText w:val="%1.%2.%3"/>
      <w:lvlJc w:val="left"/>
      <w:pPr>
        <w:ind w:left="709" w:hanging="709"/>
      </w:pPr>
      <w:rPr>
        <w:rFonts w:hint="eastAsia" w:cs="Times New Roman"/>
      </w:rPr>
    </w:lvl>
    <w:lvl w:ilvl="3" w:tentative="0">
      <w:start w:val="1"/>
      <w:numFmt w:val="decimal"/>
      <w:lvlText w:val="%1.%2.%3.%4."/>
      <w:lvlJc w:val="left"/>
      <w:pPr>
        <w:ind w:left="851" w:hanging="851"/>
      </w:pPr>
      <w:rPr>
        <w:rFonts w:hint="eastAsia" w:cs="Times New Roman"/>
      </w:rPr>
    </w:lvl>
    <w:lvl w:ilvl="4" w:tentative="0">
      <w:start w:val="1"/>
      <w:numFmt w:val="decimal"/>
      <w:lvlText w:val="%1.%2.%3.%4.%5."/>
      <w:lvlJc w:val="left"/>
      <w:pPr>
        <w:ind w:left="992" w:hanging="992"/>
      </w:pPr>
      <w:rPr>
        <w:rFonts w:hint="eastAsia" w:cs="Times New Roman"/>
      </w:rPr>
    </w:lvl>
    <w:lvl w:ilvl="5" w:tentative="0">
      <w:start w:val="1"/>
      <w:numFmt w:val="decimal"/>
      <w:lvlText w:val="%1.%2.%3.%4.%5.%6."/>
      <w:lvlJc w:val="left"/>
      <w:pPr>
        <w:ind w:left="1134" w:hanging="1134"/>
      </w:pPr>
      <w:rPr>
        <w:rFonts w:hint="eastAsia" w:cs="Times New Roman"/>
      </w:rPr>
    </w:lvl>
    <w:lvl w:ilvl="6" w:tentative="0">
      <w:start w:val="1"/>
      <w:numFmt w:val="decimal"/>
      <w:lvlText w:val="%1.%2.%3.%4.%5.%6.%7."/>
      <w:lvlJc w:val="left"/>
      <w:pPr>
        <w:ind w:left="1276" w:hanging="1276"/>
      </w:pPr>
      <w:rPr>
        <w:rFonts w:hint="eastAsia" w:cs="Times New Roman"/>
      </w:rPr>
    </w:lvl>
    <w:lvl w:ilvl="7" w:tentative="0">
      <w:start w:val="1"/>
      <w:numFmt w:val="decimal"/>
      <w:lvlText w:val="%1.%2.%3.%4.%5.%6.%7.%8."/>
      <w:lvlJc w:val="left"/>
      <w:pPr>
        <w:ind w:left="1418" w:hanging="1418"/>
      </w:pPr>
      <w:rPr>
        <w:rFonts w:hint="eastAsia" w:cs="Times New Roman"/>
      </w:rPr>
    </w:lvl>
    <w:lvl w:ilvl="8" w:tentative="0">
      <w:start w:val="1"/>
      <w:numFmt w:val="decimal"/>
      <w:lvlText w:val="%1.%2.%3.%4.%5.%6.%7.%8.%9."/>
      <w:lvlJc w:val="left"/>
      <w:pPr>
        <w:ind w:left="1559" w:hanging="1559"/>
      </w:pPr>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722BF"/>
    <w:rsid w:val="0000047B"/>
    <w:rsid w:val="000106BD"/>
    <w:rsid w:val="00012122"/>
    <w:rsid w:val="00020A4B"/>
    <w:rsid w:val="0002343D"/>
    <w:rsid w:val="000260BA"/>
    <w:rsid w:val="000270F3"/>
    <w:rsid w:val="0003254C"/>
    <w:rsid w:val="000416C3"/>
    <w:rsid w:val="00045FCB"/>
    <w:rsid w:val="000470ED"/>
    <w:rsid w:val="00061006"/>
    <w:rsid w:val="00076E89"/>
    <w:rsid w:val="00083256"/>
    <w:rsid w:val="000838AD"/>
    <w:rsid w:val="000852E8"/>
    <w:rsid w:val="000A0F8A"/>
    <w:rsid w:val="000A3ABE"/>
    <w:rsid w:val="000A5901"/>
    <w:rsid w:val="000B586F"/>
    <w:rsid w:val="000B60BD"/>
    <w:rsid w:val="000C2396"/>
    <w:rsid w:val="000C4BE1"/>
    <w:rsid w:val="000C5788"/>
    <w:rsid w:val="000D0D07"/>
    <w:rsid w:val="000D530A"/>
    <w:rsid w:val="000E73CF"/>
    <w:rsid w:val="000F2848"/>
    <w:rsid w:val="000F692A"/>
    <w:rsid w:val="00102698"/>
    <w:rsid w:val="00107ED0"/>
    <w:rsid w:val="001161E1"/>
    <w:rsid w:val="00120CFA"/>
    <w:rsid w:val="00121663"/>
    <w:rsid w:val="001224DA"/>
    <w:rsid w:val="001259A6"/>
    <w:rsid w:val="0013173C"/>
    <w:rsid w:val="00133996"/>
    <w:rsid w:val="0013480E"/>
    <w:rsid w:val="00134D9E"/>
    <w:rsid w:val="00134E35"/>
    <w:rsid w:val="001373A6"/>
    <w:rsid w:val="001416FA"/>
    <w:rsid w:val="00142A59"/>
    <w:rsid w:val="00150EA9"/>
    <w:rsid w:val="00151E7E"/>
    <w:rsid w:val="00154795"/>
    <w:rsid w:val="00161A37"/>
    <w:rsid w:val="00162378"/>
    <w:rsid w:val="00164D2A"/>
    <w:rsid w:val="00165C47"/>
    <w:rsid w:val="00173E8F"/>
    <w:rsid w:val="00183E91"/>
    <w:rsid w:val="00186A1D"/>
    <w:rsid w:val="00192EB6"/>
    <w:rsid w:val="00193E0C"/>
    <w:rsid w:val="001A0002"/>
    <w:rsid w:val="001A12FC"/>
    <w:rsid w:val="001A6386"/>
    <w:rsid w:val="001B7FD2"/>
    <w:rsid w:val="001D1020"/>
    <w:rsid w:val="001D1CAA"/>
    <w:rsid w:val="001D28BF"/>
    <w:rsid w:val="001D5E30"/>
    <w:rsid w:val="001D667C"/>
    <w:rsid w:val="001E0370"/>
    <w:rsid w:val="001F3EDA"/>
    <w:rsid w:val="001F4554"/>
    <w:rsid w:val="0021241D"/>
    <w:rsid w:val="002267ED"/>
    <w:rsid w:val="00227703"/>
    <w:rsid w:val="00234415"/>
    <w:rsid w:val="00241283"/>
    <w:rsid w:val="00241830"/>
    <w:rsid w:val="00244445"/>
    <w:rsid w:val="002473C5"/>
    <w:rsid w:val="00252012"/>
    <w:rsid w:val="00286F09"/>
    <w:rsid w:val="00292A01"/>
    <w:rsid w:val="00294F11"/>
    <w:rsid w:val="002A1627"/>
    <w:rsid w:val="002A5A89"/>
    <w:rsid w:val="002A72B4"/>
    <w:rsid w:val="002B44D2"/>
    <w:rsid w:val="002B6E60"/>
    <w:rsid w:val="002C0B62"/>
    <w:rsid w:val="002C210B"/>
    <w:rsid w:val="002C4101"/>
    <w:rsid w:val="002D3FAD"/>
    <w:rsid w:val="002D44F4"/>
    <w:rsid w:val="002E0EE3"/>
    <w:rsid w:val="002F6648"/>
    <w:rsid w:val="00306B80"/>
    <w:rsid w:val="00307F51"/>
    <w:rsid w:val="00312EF4"/>
    <w:rsid w:val="00313C47"/>
    <w:rsid w:val="003253C7"/>
    <w:rsid w:val="003267F8"/>
    <w:rsid w:val="0034375B"/>
    <w:rsid w:val="003578FE"/>
    <w:rsid w:val="00357D4E"/>
    <w:rsid w:val="00386F5D"/>
    <w:rsid w:val="00392667"/>
    <w:rsid w:val="003959EE"/>
    <w:rsid w:val="003A60F9"/>
    <w:rsid w:val="003A6A64"/>
    <w:rsid w:val="003B5F8F"/>
    <w:rsid w:val="003C4A3E"/>
    <w:rsid w:val="003D5A42"/>
    <w:rsid w:val="003D7433"/>
    <w:rsid w:val="003E1FE8"/>
    <w:rsid w:val="003E76B9"/>
    <w:rsid w:val="00402201"/>
    <w:rsid w:val="004116CF"/>
    <w:rsid w:val="00411F53"/>
    <w:rsid w:val="00423484"/>
    <w:rsid w:val="0042497F"/>
    <w:rsid w:val="004274C5"/>
    <w:rsid w:val="0043232F"/>
    <w:rsid w:val="0043299F"/>
    <w:rsid w:val="004332C2"/>
    <w:rsid w:val="00441C46"/>
    <w:rsid w:val="004465AA"/>
    <w:rsid w:val="004518A3"/>
    <w:rsid w:val="00455FA3"/>
    <w:rsid w:val="00456776"/>
    <w:rsid w:val="00456B19"/>
    <w:rsid w:val="00460F60"/>
    <w:rsid w:val="00462A4D"/>
    <w:rsid w:val="004748AD"/>
    <w:rsid w:val="00475D81"/>
    <w:rsid w:val="004775C0"/>
    <w:rsid w:val="00480881"/>
    <w:rsid w:val="004858F2"/>
    <w:rsid w:val="00490A30"/>
    <w:rsid w:val="00491535"/>
    <w:rsid w:val="00491ECE"/>
    <w:rsid w:val="00495C4E"/>
    <w:rsid w:val="004A41CD"/>
    <w:rsid w:val="004A4220"/>
    <w:rsid w:val="004B314F"/>
    <w:rsid w:val="004B75D8"/>
    <w:rsid w:val="004C2231"/>
    <w:rsid w:val="004C2C36"/>
    <w:rsid w:val="004D067B"/>
    <w:rsid w:val="004D2D47"/>
    <w:rsid w:val="004D4532"/>
    <w:rsid w:val="004D4B40"/>
    <w:rsid w:val="004D649C"/>
    <w:rsid w:val="004D7E71"/>
    <w:rsid w:val="004E00F7"/>
    <w:rsid w:val="004E13A0"/>
    <w:rsid w:val="004E5E47"/>
    <w:rsid w:val="004E6E1E"/>
    <w:rsid w:val="00501042"/>
    <w:rsid w:val="005027C5"/>
    <w:rsid w:val="00507A5C"/>
    <w:rsid w:val="005208AA"/>
    <w:rsid w:val="005230C7"/>
    <w:rsid w:val="00533E80"/>
    <w:rsid w:val="005376F2"/>
    <w:rsid w:val="00547418"/>
    <w:rsid w:val="0055035F"/>
    <w:rsid w:val="00567C9F"/>
    <w:rsid w:val="005753E8"/>
    <w:rsid w:val="00582B70"/>
    <w:rsid w:val="00583103"/>
    <w:rsid w:val="00584E0A"/>
    <w:rsid w:val="005877EB"/>
    <w:rsid w:val="00597DB6"/>
    <w:rsid w:val="005A2276"/>
    <w:rsid w:val="005A425F"/>
    <w:rsid w:val="005A7772"/>
    <w:rsid w:val="005B3A4F"/>
    <w:rsid w:val="005B4E46"/>
    <w:rsid w:val="005C3F7A"/>
    <w:rsid w:val="005C6D3D"/>
    <w:rsid w:val="005D3E52"/>
    <w:rsid w:val="005D5BE5"/>
    <w:rsid w:val="005E3312"/>
    <w:rsid w:val="005E6E43"/>
    <w:rsid w:val="005F2156"/>
    <w:rsid w:val="005F5212"/>
    <w:rsid w:val="006011D5"/>
    <w:rsid w:val="006045D8"/>
    <w:rsid w:val="00607FA0"/>
    <w:rsid w:val="006125C9"/>
    <w:rsid w:val="00614969"/>
    <w:rsid w:val="0061542E"/>
    <w:rsid w:val="00625049"/>
    <w:rsid w:val="00625772"/>
    <w:rsid w:val="0062629C"/>
    <w:rsid w:val="006273E9"/>
    <w:rsid w:val="00632AAB"/>
    <w:rsid w:val="006331E0"/>
    <w:rsid w:val="006444F1"/>
    <w:rsid w:val="00645786"/>
    <w:rsid w:val="00646A5D"/>
    <w:rsid w:val="00651559"/>
    <w:rsid w:val="0065398F"/>
    <w:rsid w:val="00655194"/>
    <w:rsid w:val="00680411"/>
    <w:rsid w:val="00683238"/>
    <w:rsid w:val="00684392"/>
    <w:rsid w:val="00685B6E"/>
    <w:rsid w:val="00685EF0"/>
    <w:rsid w:val="006873F0"/>
    <w:rsid w:val="006931C1"/>
    <w:rsid w:val="00695693"/>
    <w:rsid w:val="006A2CA8"/>
    <w:rsid w:val="006A417C"/>
    <w:rsid w:val="006D2EAA"/>
    <w:rsid w:val="006D456E"/>
    <w:rsid w:val="006D701F"/>
    <w:rsid w:val="006E4ED0"/>
    <w:rsid w:val="006F7207"/>
    <w:rsid w:val="0070142B"/>
    <w:rsid w:val="00703872"/>
    <w:rsid w:val="00703B9A"/>
    <w:rsid w:val="007066EF"/>
    <w:rsid w:val="00723938"/>
    <w:rsid w:val="00730A00"/>
    <w:rsid w:val="007320FD"/>
    <w:rsid w:val="007403F3"/>
    <w:rsid w:val="00743E75"/>
    <w:rsid w:val="00747E10"/>
    <w:rsid w:val="00755A70"/>
    <w:rsid w:val="00757BD7"/>
    <w:rsid w:val="00766A01"/>
    <w:rsid w:val="0077229F"/>
    <w:rsid w:val="0077460C"/>
    <w:rsid w:val="00784B27"/>
    <w:rsid w:val="00787C3D"/>
    <w:rsid w:val="00790803"/>
    <w:rsid w:val="00792EFF"/>
    <w:rsid w:val="0079409D"/>
    <w:rsid w:val="007940B3"/>
    <w:rsid w:val="007A3D41"/>
    <w:rsid w:val="007A51A7"/>
    <w:rsid w:val="007B4978"/>
    <w:rsid w:val="007C3A6A"/>
    <w:rsid w:val="007D39C5"/>
    <w:rsid w:val="007D4F72"/>
    <w:rsid w:val="007D563C"/>
    <w:rsid w:val="007D64F9"/>
    <w:rsid w:val="007D7289"/>
    <w:rsid w:val="007E0FD1"/>
    <w:rsid w:val="007E252B"/>
    <w:rsid w:val="007E4741"/>
    <w:rsid w:val="007F05DF"/>
    <w:rsid w:val="007F2236"/>
    <w:rsid w:val="007F4D6C"/>
    <w:rsid w:val="007F694E"/>
    <w:rsid w:val="00804719"/>
    <w:rsid w:val="0081494B"/>
    <w:rsid w:val="0081696A"/>
    <w:rsid w:val="00823AF5"/>
    <w:rsid w:val="00825132"/>
    <w:rsid w:val="00831925"/>
    <w:rsid w:val="00846F4E"/>
    <w:rsid w:val="00851144"/>
    <w:rsid w:val="0085748C"/>
    <w:rsid w:val="008600EA"/>
    <w:rsid w:val="00864530"/>
    <w:rsid w:val="00865110"/>
    <w:rsid w:val="0086589E"/>
    <w:rsid w:val="00874B2A"/>
    <w:rsid w:val="00876DDC"/>
    <w:rsid w:val="00877655"/>
    <w:rsid w:val="00890310"/>
    <w:rsid w:val="00896D33"/>
    <w:rsid w:val="008A193F"/>
    <w:rsid w:val="008A590F"/>
    <w:rsid w:val="008A6951"/>
    <w:rsid w:val="008C2C04"/>
    <w:rsid w:val="008C471C"/>
    <w:rsid w:val="008D3A7B"/>
    <w:rsid w:val="008E6AE8"/>
    <w:rsid w:val="008F7FBD"/>
    <w:rsid w:val="00900ECE"/>
    <w:rsid w:val="00903974"/>
    <w:rsid w:val="00903E9F"/>
    <w:rsid w:val="00907075"/>
    <w:rsid w:val="00914B9C"/>
    <w:rsid w:val="0092217F"/>
    <w:rsid w:val="00932E25"/>
    <w:rsid w:val="009337BB"/>
    <w:rsid w:val="00934295"/>
    <w:rsid w:val="009447BE"/>
    <w:rsid w:val="00947304"/>
    <w:rsid w:val="00950FA0"/>
    <w:rsid w:val="009664F0"/>
    <w:rsid w:val="00971ACD"/>
    <w:rsid w:val="009800EC"/>
    <w:rsid w:val="00985168"/>
    <w:rsid w:val="00992BAF"/>
    <w:rsid w:val="009973AF"/>
    <w:rsid w:val="009A3194"/>
    <w:rsid w:val="009C0D84"/>
    <w:rsid w:val="009D0CB5"/>
    <w:rsid w:val="009D3C8C"/>
    <w:rsid w:val="009E1028"/>
    <w:rsid w:val="009E7868"/>
    <w:rsid w:val="00A01F44"/>
    <w:rsid w:val="00A028AC"/>
    <w:rsid w:val="00A046F8"/>
    <w:rsid w:val="00A22668"/>
    <w:rsid w:val="00A27882"/>
    <w:rsid w:val="00A27DC2"/>
    <w:rsid w:val="00A347F9"/>
    <w:rsid w:val="00A42059"/>
    <w:rsid w:val="00A42A5F"/>
    <w:rsid w:val="00A452E9"/>
    <w:rsid w:val="00A572DD"/>
    <w:rsid w:val="00A6640F"/>
    <w:rsid w:val="00A671BD"/>
    <w:rsid w:val="00A82846"/>
    <w:rsid w:val="00A82B22"/>
    <w:rsid w:val="00A831DC"/>
    <w:rsid w:val="00A83288"/>
    <w:rsid w:val="00A90F35"/>
    <w:rsid w:val="00A925BC"/>
    <w:rsid w:val="00AA7007"/>
    <w:rsid w:val="00AB5EA8"/>
    <w:rsid w:val="00AB6EE6"/>
    <w:rsid w:val="00AC672C"/>
    <w:rsid w:val="00AC7B06"/>
    <w:rsid w:val="00AE2647"/>
    <w:rsid w:val="00AE567F"/>
    <w:rsid w:val="00AF0941"/>
    <w:rsid w:val="00AF1284"/>
    <w:rsid w:val="00AF3C97"/>
    <w:rsid w:val="00B03C7F"/>
    <w:rsid w:val="00B07E16"/>
    <w:rsid w:val="00B24C4B"/>
    <w:rsid w:val="00B25008"/>
    <w:rsid w:val="00B3018F"/>
    <w:rsid w:val="00B31764"/>
    <w:rsid w:val="00B42592"/>
    <w:rsid w:val="00B4490F"/>
    <w:rsid w:val="00B46780"/>
    <w:rsid w:val="00B5111A"/>
    <w:rsid w:val="00B5299D"/>
    <w:rsid w:val="00B53DFD"/>
    <w:rsid w:val="00B569DC"/>
    <w:rsid w:val="00B70E3A"/>
    <w:rsid w:val="00B722BF"/>
    <w:rsid w:val="00B935D9"/>
    <w:rsid w:val="00B9572F"/>
    <w:rsid w:val="00B96FBE"/>
    <w:rsid w:val="00BA48BB"/>
    <w:rsid w:val="00BB1001"/>
    <w:rsid w:val="00BB29EF"/>
    <w:rsid w:val="00BB4C46"/>
    <w:rsid w:val="00BB702B"/>
    <w:rsid w:val="00BC124A"/>
    <w:rsid w:val="00BC373E"/>
    <w:rsid w:val="00BD00FE"/>
    <w:rsid w:val="00BD4640"/>
    <w:rsid w:val="00BD66D9"/>
    <w:rsid w:val="00BD681A"/>
    <w:rsid w:val="00BE551B"/>
    <w:rsid w:val="00C109ED"/>
    <w:rsid w:val="00C11F41"/>
    <w:rsid w:val="00C12C57"/>
    <w:rsid w:val="00C136FC"/>
    <w:rsid w:val="00C13A73"/>
    <w:rsid w:val="00C31B00"/>
    <w:rsid w:val="00C33661"/>
    <w:rsid w:val="00C37215"/>
    <w:rsid w:val="00C4168A"/>
    <w:rsid w:val="00C44636"/>
    <w:rsid w:val="00C47895"/>
    <w:rsid w:val="00C52878"/>
    <w:rsid w:val="00C613C4"/>
    <w:rsid w:val="00C7557F"/>
    <w:rsid w:val="00C81259"/>
    <w:rsid w:val="00CA1354"/>
    <w:rsid w:val="00CA5EF2"/>
    <w:rsid w:val="00CB1148"/>
    <w:rsid w:val="00CB2D77"/>
    <w:rsid w:val="00CB5F7C"/>
    <w:rsid w:val="00CB6523"/>
    <w:rsid w:val="00CC4875"/>
    <w:rsid w:val="00CD178C"/>
    <w:rsid w:val="00CD32E6"/>
    <w:rsid w:val="00CE7CFF"/>
    <w:rsid w:val="00D0068A"/>
    <w:rsid w:val="00D01586"/>
    <w:rsid w:val="00D02503"/>
    <w:rsid w:val="00D15C41"/>
    <w:rsid w:val="00D260CD"/>
    <w:rsid w:val="00D30B9D"/>
    <w:rsid w:val="00D34E1A"/>
    <w:rsid w:val="00D45CD7"/>
    <w:rsid w:val="00D8130A"/>
    <w:rsid w:val="00D82BC2"/>
    <w:rsid w:val="00D85A20"/>
    <w:rsid w:val="00D90C77"/>
    <w:rsid w:val="00D91CC3"/>
    <w:rsid w:val="00D93C5A"/>
    <w:rsid w:val="00D949D8"/>
    <w:rsid w:val="00DB41E5"/>
    <w:rsid w:val="00DB422E"/>
    <w:rsid w:val="00DB5A4A"/>
    <w:rsid w:val="00DC6338"/>
    <w:rsid w:val="00DD0A22"/>
    <w:rsid w:val="00DD0DAB"/>
    <w:rsid w:val="00DD50AA"/>
    <w:rsid w:val="00DF3803"/>
    <w:rsid w:val="00DF5D89"/>
    <w:rsid w:val="00DF5DF3"/>
    <w:rsid w:val="00E14679"/>
    <w:rsid w:val="00E15DAF"/>
    <w:rsid w:val="00E16E18"/>
    <w:rsid w:val="00E25119"/>
    <w:rsid w:val="00E31C91"/>
    <w:rsid w:val="00E31DA4"/>
    <w:rsid w:val="00E3795B"/>
    <w:rsid w:val="00E52B8E"/>
    <w:rsid w:val="00E773B3"/>
    <w:rsid w:val="00E80F80"/>
    <w:rsid w:val="00E8315C"/>
    <w:rsid w:val="00E90ABE"/>
    <w:rsid w:val="00E90F76"/>
    <w:rsid w:val="00E921DB"/>
    <w:rsid w:val="00EB2898"/>
    <w:rsid w:val="00EB3745"/>
    <w:rsid w:val="00EC6423"/>
    <w:rsid w:val="00EC6670"/>
    <w:rsid w:val="00ED10BB"/>
    <w:rsid w:val="00EE60A6"/>
    <w:rsid w:val="00EE62CB"/>
    <w:rsid w:val="00EF07E7"/>
    <w:rsid w:val="00F01F8F"/>
    <w:rsid w:val="00F02585"/>
    <w:rsid w:val="00F03917"/>
    <w:rsid w:val="00F059EE"/>
    <w:rsid w:val="00F13418"/>
    <w:rsid w:val="00F21909"/>
    <w:rsid w:val="00F254C8"/>
    <w:rsid w:val="00F339C2"/>
    <w:rsid w:val="00F41828"/>
    <w:rsid w:val="00F515CB"/>
    <w:rsid w:val="00F521B4"/>
    <w:rsid w:val="00F54379"/>
    <w:rsid w:val="00F544C4"/>
    <w:rsid w:val="00F61A0C"/>
    <w:rsid w:val="00F766E8"/>
    <w:rsid w:val="00F77A04"/>
    <w:rsid w:val="00F81C7F"/>
    <w:rsid w:val="00F82219"/>
    <w:rsid w:val="00F872BB"/>
    <w:rsid w:val="00FA0E22"/>
    <w:rsid w:val="00FA1E01"/>
    <w:rsid w:val="00FA582A"/>
    <w:rsid w:val="00FB1335"/>
    <w:rsid w:val="00FB5873"/>
    <w:rsid w:val="00FC2F10"/>
    <w:rsid w:val="00FC5731"/>
    <w:rsid w:val="00FC618F"/>
    <w:rsid w:val="00FD188A"/>
    <w:rsid w:val="00FE10C0"/>
    <w:rsid w:val="00FE4101"/>
    <w:rsid w:val="00FF060A"/>
    <w:rsid w:val="267E25FA"/>
    <w:rsid w:val="2AE82E43"/>
    <w:rsid w:val="2FC07B24"/>
    <w:rsid w:val="450A6C3C"/>
    <w:rsid w:val="52E42A3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unhideWhenUsed="0"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0" w:semiHidden="0"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nhideWhenUsed="0" w:uiPriority="0" w:semiHidden="0" w:name="Body Text Indent 2"/>
    <w:lsdException w:unhideWhenUsed="0" w:uiPriority="0" w:semiHidden="0" w:name="Body Text Indent 3"/>
    <w:lsdException w:uiPriority="99"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qFormat="1" w:unhideWhenUsed="0" w:uiPriority="0" w:name="Document Map"/>
    <w:lsdException w:unhideWhenUsed="0" w:uiPriority="0" w:semiHidden="0"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48"/>
    <w:qFormat/>
    <w:uiPriority w:val="0"/>
    <w:pPr>
      <w:keepNext/>
      <w:spacing w:line="240" w:lineRule="exact"/>
      <w:outlineLvl w:val="0"/>
    </w:pPr>
    <w:rPr>
      <w:rFonts w:ascii="宋体" w:hAnsi="宋体"/>
      <w:sz w:val="28"/>
      <w:szCs w:val="20"/>
    </w:rPr>
  </w:style>
  <w:style w:type="character" w:default="1" w:styleId="15">
    <w:name w:val="Default Paragraph Font"/>
    <w:unhideWhenUsed/>
    <w:uiPriority w:val="1"/>
  </w:style>
  <w:style w:type="table" w:default="1" w:styleId="21">
    <w:name w:val="Normal Table"/>
    <w:unhideWhenUsed/>
    <w:qFormat/>
    <w:uiPriority w:val="99"/>
    <w:tblPr>
      <w:tblLayout w:type="fixed"/>
      <w:tblCellMar>
        <w:top w:w="0" w:type="dxa"/>
        <w:left w:w="108" w:type="dxa"/>
        <w:bottom w:w="0" w:type="dxa"/>
        <w:right w:w="108" w:type="dxa"/>
      </w:tblCellMar>
    </w:tblPr>
  </w:style>
  <w:style w:type="paragraph" w:styleId="3">
    <w:name w:val="Document Map"/>
    <w:basedOn w:val="1"/>
    <w:link w:val="47"/>
    <w:semiHidden/>
    <w:qFormat/>
    <w:uiPriority w:val="0"/>
    <w:pPr>
      <w:shd w:val="clear" w:color="auto" w:fill="000080"/>
    </w:pPr>
    <w:rPr>
      <w:rFonts w:ascii="Times New Roman" w:hAnsi="Times New Roman" w:eastAsia="宋体" w:cs="Times New Roman"/>
      <w:szCs w:val="24"/>
    </w:rPr>
  </w:style>
  <w:style w:type="paragraph" w:styleId="4">
    <w:name w:val="annotation text"/>
    <w:basedOn w:val="1"/>
    <w:link w:val="32"/>
    <w:qFormat/>
    <w:uiPriority w:val="0"/>
    <w:pPr>
      <w:jc w:val="left"/>
    </w:pPr>
    <w:rPr>
      <w:rFonts w:ascii="Times New Roman" w:hAnsi="Times New Roman" w:eastAsia="宋体" w:cs="Times New Roman"/>
      <w:szCs w:val="24"/>
    </w:rPr>
  </w:style>
  <w:style w:type="paragraph" w:styleId="5">
    <w:name w:val="Body Text"/>
    <w:basedOn w:val="1"/>
    <w:link w:val="46"/>
    <w:uiPriority w:val="0"/>
    <w:pPr>
      <w:snapToGrid w:val="0"/>
      <w:spacing w:line="360" w:lineRule="auto"/>
    </w:pPr>
    <w:rPr>
      <w:rFonts w:ascii="仿宋_GB2312" w:hAnsi="Times New Roman" w:eastAsia="仿宋_GB2312" w:cs="Times New Roman"/>
      <w:b/>
      <w:sz w:val="28"/>
      <w:szCs w:val="21"/>
    </w:rPr>
  </w:style>
  <w:style w:type="paragraph" w:styleId="6">
    <w:name w:val="Body Text Indent"/>
    <w:basedOn w:val="1"/>
    <w:link w:val="26"/>
    <w:uiPriority w:val="0"/>
    <w:pPr>
      <w:widowControl/>
      <w:spacing w:before="50" w:after="120" w:line="240" w:lineRule="exact"/>
      <w:ind w:firstLine="480" w:firstLineChars="200"/>
      <w:jc w:val="left"/>
    </w:pPr>
    <w:rPr>
      <w:rFonts w:ascii="Times New Roman" w:hAnsi="Times New Roman" w:eastAsia="宋体" w:cs="Times New Roman"/>
      <w:kern w:val="0"/>
      <w:sz w:val="24"/>
      <w:szCs w:val="20"/>
    </w:rPr>
  </w:style>
  <w:style w:type="paragraph" w:styleId="7">
    <w:name w:val="Plain Text"/>
    <w:basedOn w:val="1"/>
    <w:link w:val="29"/>
    <w:uiPriority w:val="0"/>
    <w:rPr>
      <w:rFonts w:ascii="宋体" w:hAnsi="Courier New" w:eastAsia="宋体" w:cs="Times New Roman"/>
      <w:szCs w:val="21"/>
    </w:rPr>
  </w:style>
  <w:style w:type="paragraph" w:styleId="8">
    <w:name w:val="Date"/>
    <w:basedOn w:val="1"/>
    <w:next w:val="1"/>
    <w:link w:val="44"/>
    <w:uiPriority w:val="0"/>
    <w:pPr>
      <w:ind w:left="100" w:leftChars="2500"/>
    </w:pPr>
    <w:rPr>
      <w:rFonts w:ascii="Times New Roman" w:hAnsi="Times New Roman" w:eastAsia="宋体" w:cs="Times New Roman"/>
      <w:szCs w:val="24"/>
    </w:rPr>
  </w:style>
  <w:style w:type="paragraph" w:styleId="9">
    <w:name w:val="Body Text Indent 2"/>
    <w:basedOn w:val="1"/>
    <w:link w:val="30"/>
    <w:uiPriority w:val="0"/>
    <w:pPr>
      <w:spacing w:after="120" w:line="480" w:lineRule="auto"/>
      <w:ind w:left="420" w:leftChars="200"/>
    </w:pPr>
    <w:rPr>
      <w:rFonts w:ascii="Times New Roman" w:hAnsi="Times New Roman" w:eastAsia="宋体" w:cs="Times New Roman"/>
      <w:szCs w:val="24"/>
    </w:rPr>
  </w:style>
  <w:style w:type="paragraph" w:styleId="10">
    <w:name w:val="Balloon Text"/>
    <w:basedOn w:val="1"/>
    <w:link w:val="27"/>
    <w:semiHidden/>
    <w:uiPriority w:val="0"/>
    <w:rPr>
      <w:rFonts w:ascii="Times New Roman" w:hAnsi="Times New Roman" w:eastAsia="宋体" w:cs="Times New Roman"/>
      <w:sz w:val="18"/>
      <w:szCs w:val="18"/>
    </w:rPr>
  </w:style>
  <w:style w:type="paragraph" w:styleId="11">
    <w:name w:val="footer"/>
    <w:basedOn w:val="1"/>
    <w:link w:val="23"/>
    <w:qFormat/>
    <w:uiPriority w:val="0"/>
    <w:pPr>
      <w:tabs>
        <w:tab w:val="center" w:pos="4153"/>
        <w:tab w:val="right" w:pos="8306"/>
      </w:tabs>
      <w:snapToGrid w:val="0"/>
      <w:jc w:val="left"/>
    </w:pPr>
    <w:rPr>
      <w:rFonts w:ascii="Times New Roman" w:hAnsi="Times New Roman" w:eastAsia="宋体" w:cs="Times New Roman"/>
      <w:sz w:val="18"/>
      <w:szCs w:val="18"/>
    </w:rPr>
  </w:style>
  <w:style w:type="paragraph" w:styleId="12">
    <w:name w:val="header"/>
    <w:basedOn w:val="1"/>
    <w:link w:val="24"/>
    <w:uiPriority w:val="99"/>
    <w:pPr>
      <w:tabs>
        <w:tab w:val="center" w:pos="4153"/>
        <w:tab w:val="right" w:pos="8306"/>
      </w:tabs>
      <w:snapToGrid w:val="0"/>
      <w:jc w:val="center"/>
    </w:pPr>
    <w:rPr>
      <w:rFonts w:cs="Times New Roman" w:asciiTheme="majorEastAsia" w:hAnsiTheme="majorEastAsia" w:eastAsiaTheme="majorEastAsia"/>
      <w:b/>
      <w:szCs w:val="21"/>
    </w:rPr>
  </w:style>
  <w:style w:type="paragraph" w:styleId="13">
    <w:name w:val="Body Text Indent 3"/>
    <w:basedOn w:val="1"/>
    <w:link w:val="31"/>
    <w:uiPriority w:val="0"/>
    <w:pPr>
      <w:spacing w:after="120"/>
      <w:ind w:left="420" w:leftChars="200"/>
    </w:pPr>
    <w:rPr>
      <w:rFonts w:ascii="Times New Roman" w:hAnsi="Times New Roman" w:eastAsia="宋体" w:cs="Times New Roman"/>
      <w:sz w:val="16"/>
      <w:szCs w:val="16"/>
    </w:rPr>
  </w:style>
  <w:style w:type="paragraph" w:styleId="14">
    <w:name w:val="Normal (Web)"/>
    <w:basedOn w:val="1"/>
    <w:uiPriority w:val="99"/>
    <w:pPr>
      <w:widowControl/>
      <w:spacing w:before="100" w:beforeAutospacing="1" w:after="100" w:afterAutospacing="1"/>
      <w:jc w:val="left"/>
    </w:pPr>
    <w:rPr>
      <w:rFonts w:ascii="宋体" w:hAnsi="宋体" w:eastAsia="宋体" w:cs="宋体"/>
      <w:kern w:val="0"/>
      <w:sz w:val="24"/>
      <w:szCs w:val="24"/>
    </w:rPr>
  </w:style>
  <w:style w:type="character" w:styleId="16">
    <w:name w:val="Strong"/>
    <w:qFormat/>
    <w:uiPriority w:val="0"/>
    <w:rPr>
      <w:b/>
      <w:bCs/>
    </w:rPr>
  </w:style>
  <w:style w:type="character" w:styleId="17">
    <w:name w:val="page number"/>
    <w:basedOn w:val="15"/>
    <w:qFormat/>
    <w:uiPriority w:val="0"/>
  </w:style>
  <w:style w:type="character" w:styleId="18">
    <w:name w:val="FollowedHyperlink"/>
    <w:uiPriority w:val="0"/>
    <w:rPr>
      <w:color w:val="800080"/>
      <w:u w:val="single"/>
    </w:rPr>
  </w:style>
  <w:style w:type="character" w:styleId="19">
    <w:name w:val="Hyperlink"/>
    <w:uiPriority w:val="0"/>
    <w:rPr>
      <w:color w:val="0000FF"/>
      <w:u w:val="single"/>
    </w:rPr>
  </w:style>
  <w:style w:type="character" w:styleId="20">
    <w:name w:val="annotation reference"/>
    <w:basedOn w:val="15"/>
    <w:qFormat/>
    <w:uiPriority w:val="0"/>
    <w:rPr>
      <w:sz w:val="21"/>
      <w:szCs w:val="21"/>
    </w:rPr>
  </w:style>
  <w:style w:type="table" w:styleId="22">
    <w:name w:val="Table Grid"/>
    <w:basedOn w:val="21"/>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23">
    <w:name w:val="页脚 Char"/>
    <w:basedOn w:val="15"/>
    <w:link w:val="11"/>
    <w:qFormat/>
    <w:uiPriority w:val="0"/>
    <w:rPr>
      <w:rFonts w:ascii="Times New Roman" w:hAnsi="Times New Roman" w:eastAsia="宋体" w:cs="Times New Roman"/>
      <w:sz w:val="18"/>
      <w:szCs w:val="18"/>
    </w:rPr>
  </w:style>
  <w:style w:type="character" w:customStyle="1" w:styleId="24">
    <w:name w:val="页眉 Char"/>
    <w:basedOn w:val="15"/>
    <w:link w:val="12"/>
    <w:qFormat/>
    <w:uiPriority w:val="99"/>
    <w:rPr>
      <w:rFonts w:cs="Times New Roman" w:asciiTheme="majorEastAsia" w:hAnsiTheme="majorEastAsia" w:eastAsiaTheme="majorEastAsia"/>
      <w:b/>
      <w:szCs w:val="21"/>
    </w:rPr>
  </w:style>
  <w:style w:type="paragraph" w:customStyle="1" w:styleId="25">
    <w:name w:val="公文"/>
    <w:basedOn w:val="1"/>
    <w:qFormat/>
    <w:uiPriority w:val="0"/>
    <w:pPr>
      <w:widowControl/>
      <w:adjustRightInd w:val="0"/>
      <w:snapToGrid w:val="0"/>
      <w:spacing w:beforeLines="25" w:afterLines="35"/>
      <w:ind w:firstLine="200" w:firstLineChars="200"/>
      <w:jc w:val="left"/>
    </w:pPr>
    <w:rPr>
      <w:rFonts w:ascii="仿宋_GB2312" w:hAnsi="Times New Roman" w:eastAsia="仿宋_GB2312" w:cs="Times New Roman"/>
      <w:bCs/>
      <w:kern w:val="0"/>
      <w:sz w:val="32"/>
      <w:szCs w:val="24"/>
    </w:rPr>
  </w:style>
  <w:style w:type="character" w:customStyle="1" w:styleId="26">
    <w:name w:val="正文文本缩进 Char"/>
    <w:basedOn w:val="15"/>
    <w:link w:val="6"/>
    <w:qFormat/>
    <w:uiPriority w:val="0"/>
    <w:rPr>
      <w:rFonts w:ascii="Times New Roman" w:hAnsi="Times New Roman" w:eastAsia="宋体" w:cs="Times New Roman"/>
      <w:kern w:val="0"/>
      <w:sz w:val="24"/>
      <w:szCs w:val="20"/>
    </w:rPr>
  </w:style>
  <w:style w:type="character" w:customStyle="1" w:styleId="27">
    <w:name w:val="批注框文本 Char"/>
    <w:basedOn w:val="15"/>
    <w:link w:val="10"/>
    <w:semiHidden/>
    <w:qFormat/>
    <w:uiPriority w:val="0"/>
    <w:rPr>
      <w:rFonts w:ascii="Times New Roman" w:hAnsi="Times New Roman" w:eastAsia="宋体" w:cs="Times New Roman"/>
      <w:sz w:val="18"/>
      <w:szCs w:val="18"/>
    </w:rPr>
  </w:style>
  <w:style w:type="paragraph" w:customStyle="1" w:styleId="28">
    <w:name w:val="Char1"/>
    <w:basedOn w:val="1"/>
    <w:qFormat/>
    <w:uiPriority w:val="0"/>
    <w:pPr>
      <w:widowControl/>
      <w:spacing w:after="160" w:line="240" w:lineRule="exact"/>
      <w:jc w:val="left"/>
    </w:pPr>
    <w:rPr>
      <w:rFonts w:ascii="Verdana" w:hAnsi="Verdana" w:eastAsia="仿宋_GB2312" w:cs="Times New Roman"/>
      <w:kern w:val="0"/>
      <w:sz w:val="30"/>
      <w:szCs w:val="30"/>
      <w:lang w:eastAsia="en-US"/>
    </w:rPr>
  </w:style>
  <w:style w:type="character" w:customStyle="1" w:styleId="29">
    <w:name w:val="纯文本 Char"/>
    <w:basedOn w:val="15"/>
    <w:link w:val="7"/>
    <w:qFormat/>
    <w:uiPriority w:val="0"/>
    <w:rPr>
      <w:rFonts w:ascii="宋体" w:hAnsi="Courier New" w:eastAsia="宋体" w:cs="Times New Roman"/>
      <w:szCs w:val="21"/>
    </w:rPr>
  </w:style>
  <w:style w:type="character" w:customStyle="1" w:styleId="30">
    <w:name w:val="正文文本缩进 2 Char"/>
    <w:basedOn w:val="15"/>
    <w:link w:val="9"/>
    <w:qFormat/>
    <w:uiPriority w:val="0"/>
    <w:rPr>
      <w:rFonts w:ascii="Times New Roman" w:hAnsi="Times New Roman" w:eastAsia="宋体" w:cs="Times New Roman"/>
      <w:szCs w:val="24"/>
    </w:rPr>
  </w:style>
  <w:style w:type="character" w:customStyle="1" w:styleId="31">
    <w:name w:val="正文文本缩进 3 Char"/>
    <w:basedOn w:val="15"/>
    <w:link w:val="13"/>
    <w:uiPriority w:val="0"/>
    <w:rPr>
      <w:rFonts w:ascii="Times New Roman" w:hAnsi="Times New Roman" w:eastAsia="宋体" w:cs="Times New Roman"/>
      <w:sz w:val="16"/>
      <w:szCs w:val="16"/>
    </w:rPr>
  </w:style>
  <w:style w:type="character" w:customStyle="1" w:styleId="32">
    <w:name w:val="批注文字 Char"/>
    <w:basedOn w:val="15"/>
    <w:link w:val="4"/>
    <w:uiPriority w:val="0"/>
    <w:rPr>
      <w:rFonts w:ascii="Times New Roman" w:hAnsi="Times New Roman" w:eastAsia="宋体" w:cs="Times New Roman"/>
      <w:szCs w:val="24"/>
    </w:rPr>
  </w:style>
  <w:style w:type="paragraph" w:customStyle="1" w:styleId="33">
    <w:name w:val="表格"/>
    <w:basedOn w:val="1"/>
    <w:link w:val="34"/>
    <w:qFormat/>
    <w:uiPriority w:val="0"/>
    <w:pPr>
      <w:adjustRightInd w:val="0"/>
      <w:snapToGrid w:val="0"/>
      <w:jc w:val="center"/>
    </w:pPr>
    <w:rPr>
      <w:rFonts w:ascii="仿宋_GB2312" w:hAnsi="Times New Roman" w:eastAsia="宋体" w:cs="Times New Roman"/>
      <w:color w:val="000000"/>
      <w:kern w:val="0"/>
      <w:szCs w:val="24"/>
    </w:rPr>
  </w:style>
  <w:style w:type="character" w:customStyle="1" w:styleId="34">
    <w:name w:val="表格 Char"/>
    <w:link w:val="33"/>
    <w:uiPriority w:val="0"/>
    <w:rPr>
      <w:rFonts w:ascii="仿宋_GB2312" w:hAnsi="Times New Roman" w:eastAsia="宋体" w:cs="Times New Roman"/>
      <w:color w:val="000000"/>
      <w:kern w:val="0"/>
      <w:szCs w:val="24"/>
    </w:rPr>
  </w:style>
  <w:style w:type="paragraph" w:customStyle="1" w:styleId="35">
    <w:name w:val="List Paragraph"/>
    <w:basedOn w:val="1"/>
    <w:qFormat/>
    <w:uiPriority w:val="34"/>
    <w:pPr>
      <w:ind w:firstLine="420" w:firstLineChars="200"/>
    </w:pPr>
    <w:rPr>
      <w:rFonts w:ascii="Times New Roman" w:hAnsi="Times New Roman" w:eastAsia="宋体" w:cs="Times New Roman"/>
      <w:szCs w:val="24"/>
    </w:rPr>
  </w:style>
  <w:style w:type="paragraph" w:customStyle="1" w:styleId="36">
    <w:name w:val="p0"/>
    <w:basedOn w:val="1"/>
    <w:uiPriority w:val="0"/>
    <w:pPr>
      <w:widowControl/>
    </w:pPr>
    <w:rPr>
      <w:rFonts w:ascii="Times New Roman" w:hAnsi="Times New Roman" w:eastAsia="宋体" w:cs="Times New Roman"/>
      <w:kern w:val="0"/>
      <w:szCs w:val="21"/>
    </w:rPr>
  </w:style>
  <w:style w:type="paragraph" w:customStyle="1" w:styleId="37">
    <w:name w:val="样式1"/>
    <w:basedOn w:val="1"/>
    <w:link w:val="38"/>
    <w:uiPriority w:val="99"/>
    <w:pPr>
      <w:spacing w:line="276" w:lineRule="auto"/>
      <w:ind w:firstLine="200" w:firstLineChars="200"/>
      <w:jc w:val="left"/>
    </w:pPr>
    <w:rPr>
      <w:rFonts w:ascii="Calibri" w:hAnsi="Calibri" w:eastAsia="宋体" w:cs="Times New Roman"/>
      <w:kern w:val="0"/>
      <w:szCs w:val="21"/>
    </w:rPr>
  </w:style>
  <w:style w:type="character" w:customStyle="1" w:styleId="38">
    <w:name w:val="样式1 Char"/>
    <w:basedOn w:val="15"/>
    <w:link w:val="37"/>
    <w:locked/>
    <w:uiPriority w:val="99"/>
    <w:rPr>
      <w:rFonts w:ascii="Calibri" w:hAnsi="Calibri" w:eastAsia="宋体" w:cs="Times New Roman"/>
      <w:kern w:val="0"/>
      <w:szCs w:val="21"/>
    </w:rPr>
  </w:style>
  <w:style w:type="paragraph" w:customStyle="1" w:styleId="39">
    <w:name w:val="样式2"/>
    <w:basedOn w:val="35"/>
    <w:uiPriority w:val="99"/>
    <w:pPr>
      <w:numPr>
        <w:ilvl w:val="0"/>
        <w:numId w:val="1"/>
      </w:numPr>
      <w:spacing w:beforeLines="50" w:afterLines="50"/>
      <w:ind w:left="565" w:hanging="565" w:hangingChars="268"/>
      <w:jc w:val="left"/>
    </w:pPr>
    <w:rPr>
      <w:rFonts w:ascii="Calibri" w:hAnsi="Calibri"/>
      <w:b/>
      <w:kern w:val="0"/>
      <w:szCs w:val="21"/>
      <w:lang w:eastAsia="en-US"/>
    </w:rPr>
  </w:style>
  <w:style w:type="paragraph" w:customStyle="1" w:styleId="40">
    <w:name w:val="样式3"/>
    <w:basedOn w:val="39"/>
    <w:uiPriority w:val="99"/>
    <w:pPr>
      <w:numPr>
        <w:ilvl w:val="1"/>
      </w:numPr>
      <w:ind w:left="567" w:firstLine="0" w:firstLineChars="0"/>
    </w:pPr>
    <w:rPr>
      <w:w w:val="102"/>
      <w:lang w:eastAsia="zh-CN"/>
    </w:rPr>
  </w:style>
  <w:style w:type="paragraph" w:customStyle="1" w:styleId="41">
    <w:name w:val="样式4"/>
    <w:basedOn w:val="40"/>
    <w:link w:val="42"/>
    <w:uiPriority w:val="99"/>
    <w:pPr>
      <w:numPr>
        <w:ilvl w:val="2"/>
      </w:numPr>
    </w:pPr>
  </w:style>
  <w:style w:type="character" w:customStyle="1" w:styleId="42">
    <w:name w:val="样式4 Char"/>
    <w:basedOn w:val="15"/>
    <w:link w:val="41"/>
    <w:locked/>
    <w:uiPriority w:val="99"/>
    <w:rPr>
      <w:rFonts w:ascii="Calibri" w:hAnsi="Calibri" w:eastAsia="宋体" w:cs="Times New Roman"/>
      <w:b/>
      <w:w w:val="102"/>
      <w:kern w:val="0"/>
      <w:szCs w:val="21"/>
    </w:rPr>
  </w:style>
  <w:style w:type="paragraph" w:customStyle="1" w:styleId="43">
    <w:name w:val="标准称谓"/>
    <w:next w:val="1"/>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52"/>
      <w:lang w:val="en-US" w:eastAsia="zh-CN" w:bidi="ar-SA"/>
    </w:rPr>
  </w:style>
  <w:style w:type="character" w:customStyle="1" w:styleId="44">
    <w:name w:val="日期 Char"/>
    <w:basedOn w:val="15"/>
    <w:link w:val="8"/>
    <w:uiPriority w:val="0"/>
    <w:rPr>
      <w:rFonts w:ascii="Times New Roman" w:hAnsi="Times New Roman" w:eastAsia="宋体" w:cs="Times New Roman"/>
      <w:szCs w:val="24"/>
    </w:rPr>
  </w:style>
  <w:style w:type="paragraph" w:customStyle="1" w:styleId="45">
    <w:name w:val="Char"/>
    <w:basedOn w:val="1"/>
    <w:uiPriority w:val="0"/>
    <w:pPr>
      <w:widowControl/>
      <w:spacing w:after="160" w:line="240" w:lineRule="exact"/>
      <w:jc w:val="left"/>
    </w:pPr>
    <w:rPr>
      <w:rFonts w:ascii="Verdana" w:hAnsi="Verdana" w:eastAsia="宋体" w:cs="Times New Roman"/>
      <w:kern w:val="0"/>
      <w:sz w:val="18"/>
      <w:szCs w:val="20"/>
      <w:lang w:eastAsia="en-US"/>
    </w:rPr>
  </w:style>
  <w:style w:type="character" w:customStyle="1" w:styleId="46">
    <w:name w:val="正文文本 Char"/>
    <w:basedOn w:val="15"/>
    <w:link w:val="5"/>
    <w:uiPriority w:val="0"/>
    <w:rPr>
      <w:rFonts w:ascii="仿宋_GB2312" w:hAnsi="Times New Roman" w:eastAsia="仿宋_GB2312" w:cs="Times New Roman"/>
      <w:b/>
      <w:sz w:val="28"/>
      <w:szCs w:val="21"/>
    </w:rPr>
  </w:style>
  <w:style w:type="character" w:customStyle="1" w:styleId="47">
    <w:name w:val="文档结构图 Char"/>
    <w:basedOn w:val="15"/>
    <w:link w:val="3"/>
    <w:semiHidden/>
    <w:uiPriority w:val="0"/>
    <w:rPr>
      <w:rFonts w:ascii="Times New Roman" w:hAnsi="Times New Roman" w:eastAsia="宋体" w:cs="Times New Roman"/>
      <w:szCs w:val="24"/>
      <w:shd w:val="clear" w:color="auto" w:fill="000080"/>
    </w:rPr>
  </w:style>
  <w:style w:type="character" w:customStyle="1" w:styleId="48">
    <w:name w:val="标题 1 Char"/>
    <w:basedOn w:val="15"/>
    <w:link w:val="2"/>
    <w:uiPriority w:val="0"/>
    <w:rPr>
      <w:rFonts w:ascii="宋体" w:hAnsi="宋体"/>
      <w:sz w:val="28"/>
      <w:szCs w:val="2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272A7A9-CAB8-4004-BE14-04940AB253C4}">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23</Pages>
  <Words>1813</Words>
  <Characters>10339</Characters>
  <Lines>86</Lines>
  <Paragraphs>24</Paragraphs>
  <TotalTime>0</TotalTime>
  <ScaleCrop>false</ScaleCrop>
  <LinksUpToDate>false</LinksUpToDate>
  <CharactersWithSpaces>12128</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2018-05-02T03:14:00Z</dcterms:created>
  <dc:creator>sunjp</dc:creator>
  <cp:lastModifiedBy>常孟园</cp:lastModifiedBy>
  <cp:lastPrinted>2019-03-25T01:44:00Z</cp:lastPrinted>
  <dcterms:modified xsi:type="dcterms:W3CDTF">2019-04-29T06:56:47Z</dcterms:modified>
  <cp:revision>113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