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p>
    <w:p>
      <w:pPr>
        <w:spacing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Lines="75" w:line="360" w:lineRule="auto"/>
        <w:jc w:val="center"/>
        <w:rPr>
          <w:rFonts w:ascii="黑体" w:hAnsi="黑体" w:eastAsia="黑体"/>
          <w:sz w:val="36"/>
          <w:szCs w:val="36"/>
        </w:rPr>
      </w:pPr>
      <w:r>
        <w:rPr>
          <w:rFonts w:hint="eastAsia" w:ascii="黑体" w:hAnsi="华文中宋" w:eastAsia="黑体"/>
          <w:bCs/>
          <w:sz w:val="36"/>
          <w:szCs w:val="36"/>
        </w:rPr>
        <w:t>塑料购物</w:t>
      </w:r>
      <w:bookmarkStart w:id="1" w:name="_GoBack"/>
      <w:bookmarkEnd w:id="1"/>
      <w:r>
        <w:rPr>
          <w:rFonts w:hint="eastAsia" w:ascii="黑体" w:hAnsi="华文中宋" w:eastAsia="黑体"/>
          <w:bCs/>
          <w:sz w:val="36"/>
          <w:szCs w:val="36"/>
        </w:rPr>
        <w:t>袋（非食品接触用）</w:t>
      </w:r>
      <w:r>
        <w:rPr>
          <w:rFonts w:hint="eastAsia" w:ascii="黑体" w:hAnsi="黑体" w:eastAsia="黑体"/>
          <w:sz w:val="36"/>
          <w:szCs w:val="36"/>
        </w:rPr>
        <w:t>产品质量监督抽查实施规范</w:t>
      </w:r>
    </w:p>
    <w:p>
      <w:pPr>
        <w:spacing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017</w:t>
      </w:r>
      <w:r>
        <w:rPr>
          <w:rFonts w:ascii="黑体" w:hAnsi="黑体" w:eastAsia="黑体"/>
          <w:sz w:val="28"/>
        </w:rPr>
        <w:t>-</w:t>
      </w:r>
      <w:r>
        <w:rPr>
          <w:rFonts w:hint="eastAsia" w:ascii="黑体" w:hAnsi="黑体" w:eastAsia="黑体"/>
          <w:sz w:val="28"/>
        </w:rPr>
        <w:t>2019</w:t>
      </w:r>
    </w:p>
    <w:p>
      <w:pPr>
        <w:spacing w:beforeLines="75" w:line="360" w:lineRule="auto"/>
        <w:jc w:val="center"/>
        <w:rPr>
          <w:rFonts w:ascii="黑体" w:hAnsi="黑体" w:eastAsia="黑体"/>
          <w:color w:val="FF0000"/>
          <w:sz w:val="28"/>
        </w:rPr>
      </w:pPr>
    </w:p>
    <w:p>
      <w:pPr>
        <w:snapToGrid w:val="0"/>
        <w:spacing w:line="360" w:lineRule="auto"/>
        <w:rPr>
          <w:rFonts w:ascii="宋体" w:hAnsi="宋体" w:eastAsia="宋体" w:cs="Times New Roman"/>
          <w:sz w:val="24"/>
        </w:rPr>
      </w:pPr>
    </w:p>
    <w:p>
      <w:pPr>
        <w:snapToGrid w:val="0"/>
        <w:spacing w:line="360" w:lineRule="auto"/>
        <w:rPr>
          <w:rFonts w:ascii="仿宋_GB2312" w:hAnsi="宋体" w:eastAsia="仿宋_GB2312" w:cs="Times New Roman"/>
          <w:b/>
          <w:szCs w:val="21"/>
        </w:rPr>
      </w:pP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1 适用范围</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本规范适用于深圳市生产及流通领域</w:t>
      </w:r>
      <w:r>
        <w:rPr>
          <w:rFonts w:hint="eastAsia" w:ascii="仿宋_GB2312" w:hAnsi="宋体" w:eastAsia="仿宋_GB2312"/>
          <w:sz w:val="28"/>
          <w:szCs w:val="28"/>
        </w:rPr>
        <w:t>塑料购物袋</w:t>
      </w:r>
      <w:r>
        <w:rPr>
          <w:rFonts w:hint="eastAsia" w:ascii="仿宋_GB2312" w:hAnsi="宋体" w:eastAsia="仿宋_GB2312" w:cs="Times New Roman"/>
          <w:sz w:val="28"/>
          <w:szCs w:val="28"/>
        </w:rPr>
        <w:t>产品质量监督抽查。监督抽查产品范围适用于：</w:t>
      </w:r>
      <w:r>
        <w:rPr>
          <w:rFonts w:hint="eastAsia" w:ascii="仿宋_GB2312" w:hAnsi="宋体" w:eastAsia="仿宋_GB2312"/>
          <w:sz w:val="28"/>
          <w:szCs w:val="28"/>
        </w:rPr>
        <w:t>塑料购物袋，但直接接触食品用塑料购物袋除外。</w:t>
      </w:r>
    </w:p>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2产品种类</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产品种类见表1。</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表1  产品种类</w:t>
      </w:r>
    </w:p>
    <w:tbl>
      <w:tblPr>
        <w:tblStyle w:val="3"/>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产品种类</w:t>
            </w:r>
          </w:p>
        </w:tc>
        <w:tc>
          <w:tcPr>
            <w:tcW w:w="6305"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vAlign w:val="center"/>
          </w:tcPr>
          <w:p>
            <w:pPr>
              <w:snapToGrid w:val="0"/>
              <w:spacing w:line="360" w:lineRule="auto"/>
              <w:jc w:val="center"/>
              <w:rPr>
                <w:rFonts w:ascii="仿宋_GB2312" w:hAnsi="宋体" w:eastAsia="仿宋_GB2312"/>
                <w:sz w:val="24"/>
              </w:rPr>
            </w:pPr>
            <w:r>
              <w:rPr>
                <w:rFonts w:hint="eastAsia" w:ascii="仿宋_GB2312" w:hAnsi="宋体" w:eastAsia="仿宋_GB2312"/>
                <w:sz w:val="24"/>
              </w:rPr>
              <w:t>塑料购物袋</w:t>
            </w:r>
          </w:p>
        </w:tc>
        <w:tc>
          <w:tcPr>
            <w:tcW w:w="6305" w:type="dxa"/>
            <w:vAlign w:val="center"/>
          </w:tcPr>
          <w:p>
            <w:pPr>
              <w:snapToGrid w:val="0"/>
              <w:spacing w:line="360" w:lineRule="auto"/>
              <w:rPr>
                <w:rFonts w:ascii="仿宋_GB2312" w:hAnsi="宋体" w:eastAsia="仿宋_GB2312"/>
                <w:sz w:val="24"/>
              </w:rPr>
            </w:pPr>
            <w:r>
              <w:rPr>
                <w:rFonts w:hint="eastAsia" w:ascii="仿宋_GB2312" w:hAnsi="宋体" w:eastAsia="仿宋_GB2312"/>
                <w:sz w:val="24"/>
              </w:rPr>
              <w:t>以树脂为主要原料生产的薄膜、经热合或粘合等制袋工艺加工制得的塑料购物袋。不包括仅以包装使用且不以携提为目的塑料购物袋或塑料连卷袋及直接接触食品用塑料购物袋。</w:t>
            </w:r>
          </w:p>
        </w:tc>
      </w:tr>
    </w:tbl>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3 术语和定义</w:t>
      </w:r>
    </w:p>
    <w:p>
      <w:pPr>
        <w:snapToGrid w:val="0"/>
        <w:spacing w:line="360" w:lineRule="auto"/>
        <w:ind w:firstLine="548" w:firstLineChars="196"/>
        <w:rPr>
          <w:rFonts w:ascii="仿宋_GB2312" w:hAnsi="宋体" w:eastAsia="仿宋_GB2312"/>
          <w:bCs/>
          <w:sz w:val="28"/>
          <w:szCs w:val="28"/>
        </w:rPr>
      </w:pPr>
      <w:r>
        <w:rPr>
          <w:rFonts w:hint="eastAsia" w:ascii="仿宋_GB2312" w:hAnsi="宋体" w:eastAsia="仿宋_GB2312"/>
          <w:sz w:val="28"/>
          <w:szCs w:val="28"/>
        </w:rPr>
        <w:t>塑料购物袋：</w:t>
      </w:r>
      <w:r>
        <w:rPr>
          <w:rFonts w:hint="eastAsia" w:ascii="仿宋_GB2312" w:hAnsi="宋体" w:eastAsia="仿宋_GB2312"/>
          <w:bCs/>
          <w:sz w:val="28"/>
          <w:szCs w:val="28"/>
        </w:rPr>
        <w:t>以树脂为主要原料制得的，在销售、服务等场所用于盛装及携提商品的袋制品。</w:t>
      </w:r>
    </w:p>
    <w:p>
      <w:pPr>
        <w:snapToGrid w:val="0"/>
        <w:spacing w:beforeLines="50"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4 检验依据</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检验依据见表2。</w:t>
      </w:r>
    </w:p>
    <w:p>
      <w:pPr>
        <w:snapToGrid w:val="0"/>
        <w:jc w:val="center"/>
        <w:rPr>
          <w:rFonts w:ascii="黑体" w:hAnsi="黑体" w:eastAsia="黑体" w:cs="Times New Roman"/>
          <w:sz w:val="28"/>
          <w:szCs w:val="28"/>
        </w:rPr>
      </w:pPr>
      <w:r>
        <w:rPr>
          <w:rFonts w:hint="eastAsia" w:ascii="黑体" w:hAnsi="黑体" w:eastAsia="黑体" w:cs="Times New Roman"/>
          <w:sz w:val="28"/>
          <w:szCs w:val="28"/>
        </w:rPr>
        <w:t>表2 检验依据</w:t>
      </w: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标准号</w:t>
            </w:r>
          </w:p>
        </w:tc>
        <w:tc>
          <w:tcPr>
            <w:tcW w:w="4407"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标准名称</w:t>
            </w:r>
          </w:p>
        </w:tc>
        <w:tc>
          <w:tcPr>
            <w:tcW w:w="2786" w:type="dxa"/>
            <w:shd w:val="clear" w:color="auto" w:fill="auto"/>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snapToGrid w:val="0"/>
              <w:jc w:val="center"/>
              <w:rPr>
                <w:rFonts w:ascii="仿宋_GB2312" w:eastAsia="仿宋_GB2312"/>
                <w:sz w:val="24"/>
              </w:rPr>
            </w:pPr>
            <w:r>
              <w:rPr>
                <w:rFonts w:hint="eastAsia" w:ascii="仿宋_GB2312" w:eastAsia="仿宋_GB2312"/>
                <w:sz w:val="24"/>
              </w:rPr>
              <w:t>GB/T 21660-2008</w:t>
            </w:r>
          </w:p>
        </w:tc>
        <w:tc>
          <w:tcPr>
            <w:tcW w:w="4407" w:type="dxa"/>
            <w:shd w:val="clear" w:color="auto" w:fill="auto"/>
            <w:vAlign w:val="center"/>
          </w:tcPr>
          <w:p>
            <w:pPr>
              <w:snapToGrid w:val="0"/>
              <w:jc w:val="center"/>
              <w:rPr>
                <w:rFonts w:ascii="仿宋_GB2312" w:eastAsia="仿宋_GB2312"/>
                <w:sz w:val="24"/>
              </w:rPr>
            </w:pPr>
            <w:r>
              <w:rPr>
                <w:rFonts w:hint="eastAsia" w:ascii="仿宋_GB2312" w:eastAsia="仿宋_GB2312"/>
                <w:sz w:val="24"/>
              </w:rPr>
              <w:t>《塑料购物袋的环保、安全和标识  通用技术要求》</w:t>
            </w:r>
          </w:p>
        </w:tc>
        <w:tc>
          <w:tcPr>
            <w:tcW w:w="2786" w:type="dxa"/>
            <w:shd w:val="clear" w:color="auto" w:fill="auto"/>
            <w:vAlign w:val="center"/>
          </w:tcPr>
          <w:p>
            <w:pPr>
              <w:snapToGrid w:val="0"/>
              <w:jc w:val="center"/>
              <w:rPr>
                <w:rFonts w:ascii="仿宋_GB2312"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shd w:val="clear" w:color="auto" w:fill="auto"/>
            <w:vAlign w:val="center"/>
          </w:tcPr>
          <w:p>
            <w:pPr>
              <w:snapToGrid w:val="0"/>
              <w:jc w:val="center"/>
              <w:rPr>
                <w:rFonts w:ascii="仿宋_GB2312" w:eastAsia="仿宋_GB2312"/>
                <w:sz w:val="24"/>
              </w:rPr>
            </w:pPr>
            <w:r>
              <w:rPr>
                <w:rFonts w:hint="eastAsia" w:ascii="仿宋_GB2312" w:eastAsia="仿宋_GB2312"/>
                <w:sz w:val="24"/>
              </w:rPr>
              <w:t xml:space="preserve">GB/T 21661-2008 </w:t>
            </w:r>
          </w:p>
        </w:tc>
        <w:tc>
          <w:tcPr>
            <w:tcW w:w="4407" w:type="dxa"/>
            <w:shd w:val="clear" w:color="auto" w:fill="auto"/>
            <w:vAlign w:val="center"/>
          </w:tcPr>
          <w:p>
            <w:pPr>
              <w:snapToGrid w:val="0"/>
              <w:jc w:val="center"/>
              <w:rPr>
                <w:rFonts w:ascii="仿宋_GB2312" w:eastAsia="仿宋_GB2312"/>
                <w:sz w:val="24"/>
              </w:rPr>
            </w:pPr>
            <w:r>
              <w:rPr>
                <w:rFonts w:hint="eastAsia" w:ascii="仿宋_GB2312" w:eastAsia="仿宋_GB2312"/>
                <w:sz w:val="24"/>
              </w:rPr>
              <w:t>《塑料购物袋》</w:t>
            </w:r>
          </w:p>
        </w:tc>
        <w:tc>
          <w:tcPr>
            <w:tcW w:w="2786" w:type="dxa"/>
            <w:shd w:val="clear" w:color="auto" w:fill="auto"/>
            <w:vAlign w:val="center"/>
          </w:tcPr>
          <w:p>
            <w:pPr>
              <w:snapToGrid w:val="0"/>
              <w:jc w:val="center"/>
              <w:rPr>
                <w:rFonts w:ascii="仿宋_GB2312" w:eastAsia="仿宋_GB2312"/>
                <w:sz w:val="24"/>
              </w:rPr>
            </w:pPr>
            <w:r>
              <w:rPr>
                <w:rFonts w:hint="eastAsia" w:ascii="仿宋_GB2312" w:eastAsia="仿宋_GB2312"/>
                <w:sz w:val="24"/>
              </w:rPr>
              <w:sym w:font="Wingdings 2" w:char="F052"/>
            </w:r>
            <w:r>
              <w:rPr>
                <w:rFonts w:hint="eastAsia" w:ascii="仿宋_GB2312" w:hAnsi="宋体" w:eastAsia="仿宋_GB2312"/>
                <w:sz w:val="24"/>
              </w:rPr>
              <w:t xml:space="preserve">CMA  </w:t>
            </w:r>
            <w:r>
              <w:rPr>
                <w:rFonts w:hint="eastAsia" w:ascii="仿宋_GB2312" w:eastAsia="仿宋_GB2312"/>
                <w:sz w:val="24"/>
              </w:rPr>
              <w:sym w:font="Wingdings 2" w:char="F052"/>
            </w:r>
            <w:r>
              <w:rPr>
                <w:rFonts w:hint="eastAsia" w:ascii="仿宋_GB2312" w:hAnsi="宋体" w:eastAsia="仿宋_GB2312"/>
                <w:sz w:val="24"/>
              </w:rPr>
              <w:t xml:space="preserve">CAL </w:t>
            </w:r>
            <w:r>
              <w:rPr>
                <w:rFonts w:hint="eastAsia" w:ascii="仿宋_GB2312" w:eastAsia="仿宋_GB2312"/>
                <w:sz w:val="24"/>
              </w:rPr>
              <w:sym w:font="Wingdings 2" w:char="F052"/>
            </w:r>
            <w:r>
              <w:rPr>
                <w:rFonts w:hint="eastAsia" w:ascii="仿宋_GB2312" w:hAnsi="宋体" w:eastAsia="仿宋_GB2312"/>
                <w:sz w:val="24"/>
              </w:rPr>
              <w:t>CNAS</w:t>
            </w:r>
          </w:p>
        </w:tc>
      </w:tr>
    </w:tbl>
    <w:p>
      <w:pPr>
        <w:snapToGrid w:val="0"/>
        <w:spacing w:line="360" w:lineRule="auto"/>
        <w:ind w:firstLine="548" w:firstLineChars="196"/>
        <w:rPr>
          <w:rFonts w:ascii="仿宋_GB2312" w:hAnsi="宋体" w:eastAsia="仿宋_GB2312" w:cs="Times New Roman"/>
          <w:sz w:val="28"/>
          <w:szCs w:val="28"/>
        </w:rPr>
      </w:pPr>
      <w:r>
        <w:rPr>
          <w:rFonts w:hint="eastAsia" w:ascii="仿宋_GB2312" w:hAnsi="宋体" w:eastAsia="仿宋_GB2312" w:cs="Times New Roman"/>
          <w:sz w:val="28"/>
          <w:szCs w:val="28"/>
        </w:rPr>
        <w:t>相关的产品强制性标准、行业标准、政府法规及产品的明示标准（包括备案的企业标准）和明示担保内容。</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 抽样</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5.1 抽样型号或规格</w:t>
      </w:r>
    </w:p>
    <w:p>
      <w:pPr>
        <w:snapToGrid w:val="0"/>
        <w:spacing w:line="360" w:lineRule="auto"/>
        <w:ind w:firstLine="537" w:firstLineChars="192"/>
        <w:rPr>
          <w:rFonts w:ascii="仿宋_GB2312" w:hAnsi="宋体" w:eastAsia="仿宋_GB2312" w:cs="Times New Roman"/>
          <w:sz w:val="28"/>
          <w:szCs w:val="28"/>
        </w:rPr>
      </w:pPr>
      <w:r>
        <w:rPr>
          <w:rFonts w:hint="eastAsia" w:ascii="仿宋_GB2312" w:hAnsi="宋体" w:eastAsia="仿宋_GB2312" w:cs="Times New Roman"/>
          <w:sz w:val="28"/>
          <w:szCs w:val="28"/>
        </w:rPr>
        <w:t>抽取样品须为同一型号规格，同一批次的产品。</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5.2 抽样方法</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5.3 抽样基数</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在生产企业和市场上抽样时，抽样基数应不少于抽取样品量。</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5.4 抽样数量</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生产领域：随机抽取同一规格型号的</w:t>
      </w:r>
      <w:bookmarkStart w:id="0" w:name="OLE_LINK51"/>
      <w:r>
        <w:rPr>
          <w:rFonts w:hint="eastAsia" w:ascii="仿宋_GB2312" w:hAnsi="宋体" w:eastAsia="仿宋_GB2312" w:cs="Times New Roman"/>
          <w:sz w:val="28"/>
          <w:szCs w:val="28"/>
        </w:rPr>
        <w:t>50个样品，25个作为检验样品带回承检机构，</w:t>
      </w:r>
      <w:bookmarkEnd w:id="0"/>
      <w:r>
        <w:rPr>
          <w:rFonts w:hint="eastAsia" w:ascii="仿宋_GB2312" w:hAnsi="宋体" w:eastAsia="仿宋_GB2312" w:cs="Times New Roman"/>
          <w:sz w:val="28"/>
          <w:szCs w:val="28"/>
        </w:rPr>
        <w:t>25个作为备用样品封存于承检机构；</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流通领域（实体店）：随机抽取同一规格型号的50个样品，25个作为检验样品带回承检机构，25个作为备用样品封存于受检单位。</w:t>
      </w:r>
    </w:p>
    <w:p>
      <w:pPr>
        <w:snapToGrid w:val="0"/>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流通领域（网络交易平台）：随机抽取同一规格型号的50个样品，25个作为检验样品带回承检机构，25个作为备用样品封存于承检机构。</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5.5 样品处置</w:t>
      </w:r>
    </w:p>
    <w:p>
      <w:pPr>
        <w:spacing w:line="360" w:lineRule="auto"/>
        <w:rPr>
          <w:rFonts w:ascii="仿宋_GB2312" w:hAnsi="宋体" w:eastAsia="仿宋_GB2312" w:cs="Times New Roman"/>
          <w:sz w:val="28"/>
          <w:szCs w:val="28"/>
        </w:rPr>
      </w:pPr>
      <w:r>
        <w:rPr>
          <w:rFonts w:hint="eastAsia" w:ascii="仿宋_GB2312" w:hAnsi="ˎ̥" w:eastAsia="仿宋_GB2312" w:cs="Times New Roman"/>
          <w:b/>
          <w:sz w:val="28"/>
          <w:szCs w:val="28"/>
        </w:rPr>
        <w:t>5.5.1</w:t>
      </w:r>
      <w:r>
        <w:rPr>
          <w:rFonts w:hint="eastAsia" w:ascii="仿宋_GB2312" w:hAnsi="宋体" w:eastAsia="仿宋_GB2312" w:cs="Times New Roman"/>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Calibri" w:eastAsia="仿宋_GB2312" w:cs="Times New Roman"/>
          <w:sz w:val="28"/>
          <w:szCs w:val="28"/>
        </w:rPr>
      </w:pPr>
      <w:r>
        <w:rPr>
          <w:rFonts w:hint="eastAsia" w:ascii="仿宋_GB2312" w:hAnsi="宋体" w:eastAsia="仿宋_GB2312" w:cs="Times New Roman"/>
          <w:b/>
          <w:sz w:val="28"/>
          <w:szCs w:val="28"/>
        </w:rPr>
        <w:t>5.5.2</w:t>
      </w:r>
      <w:r>
        <w:rPr>
          <w:rFonts w:hint="eastAsia" w:ascii="仿宋_GB2312" w:hAnsi="Calibri" w:eastAsia="仿宋_GB2312" w:cs="Times New Roman"/>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5.6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cs="Times New Roman"/>
          <w:sz w:val="28"/>
          <w:szCs w:val="28"/>
        </w:rPr>
        <w:t>应按有关规定填写抽样单，并记录被抽查产品及企业相关信息。</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 检验要求</w:t>
      </w:r>
    </w:p>
    <w:p>
      <w:pPr>
        <w:snapToGrid w:val="0"/>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6.1 检验项目</w:t>
      </w:r>
    </w:p>
    <w:tbl>
      <w:tblPr>
        <w:tblStyle w:val="3"/>
        <w:tblW w:w="93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710"/>
        <w:gridCol w:w="1841"/>
        <w:gridCol w:w="2123"/>
        <w:gridCol w:w="1273"/>
        <w:gridCol w:w="198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572"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2551" w:type="dxa"/>
            <w:gridSpan w:val="2"/>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检验项目</w:t>
            </w:r>
          </w:p>
        </w:tc>
        <w:tc>
          <w:tcPr>
            <w:tcW w:w="2123"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检测依据</w:t>
            </w:r>
          </w:p>
        </w:tc>
        <w:tc>
          <w:tcPr>
            <w:tcW w:w="1273"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项目性质</w:t>
            </w:r>
          </w:p>
        </w:tc>
        <w:tc>
          <w:tcPr>
            <w:tcW w:w="1985" w:type="dxa"/>
            <w:vAlign w:val="center"/>
          </w:tcPr>
          <w:p>
            <w:pPr>
              <w:widowControl/>
              <w:snapToGrid w:val="0"/>
              <w:jc w:val="center"/>
              <w:rPr>
                <w:rFonts w:ascii="黑体" w:hAnsi="黑体" w:eastAsia="黑体" w:cs="Times New Roman"/>
                <w:bCs/>
                <w:sz w:val="24"/>
                <w:szCs w:val="24"/>
              </w:rPr>
            </w:pPr>
            <w:r>
              <w:rPr>
                <w:rFonts w:hint="eastAsia" w:ascii="黑体" w:hAnsi="黑体" w:eastAsia="黑体" w:cs="Times New Roman"/>
                <w:bCs/>
                <w:sz w:val="24"/>
                <w:szCs w:val="24"/>
              </w:rPr>
              <w:t>检测方法</w:t>
            </w:r>
          </w:p>
        </w:tc>
        <w:tc>
          <w:tcPr>
            <w:tcW w:w="858" w:type="dxa"/>
            <w:vAlign w:val="center"/>
          </w:tcPr>
          <w:p>
            <w:pPr>
              <w:snapToGrid w:val="0"/>
              <w:jc w:val="center"/>
              <w:rPr>
                <w:rFonts w:ascii="黑体" w:hAnsi="黑体" w:eastAsia="黑体" w:cs="Times New Roman"/>
                <w:sz w:val="24"/>
                <w:szCs w:val="24"/>
              </w:rPr>
            </w:pPr>
            <w:r>
              <w:rPr>
                <w:rFonts w:hint="eastAsia" w:ascii="黑体" w:hAnsi="黑体" w:eastAsia="黑体" w:cs="Times New Roman"/>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1</w:t>
            </w:r>
          </w:p>
        </w:tc>
        <w:tc>
          <w:tcPr>
            <w:tcW w:w="2551"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厚度</w:t>
            </w:r>
          </w:p>
        </w:tc>
        <w:tc>
          <w:tcPr>
            <w:tcW w:w="2123"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《产业结构调整指导目录（2011年本）》</w:t>
            </w:r>
          </w:p>
        </w:tc>
        <w:tc>
          <w:tcPr>
            <w:tcW w:w="1273"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强制性</w:t>
            </w: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21661</w:t>
            </w:r>
            <w:r>
              <w:rPr>
                <w:rFonts w:ascii="仿宋_GB2312" w:hAnsi="宋体" w:eastAsia="仿宋_GB2312"/>
                <w:sz w:val="24"/>
              </w:rPr>
              <w:t xml:space="preserve"> 4.2.1</w:t>
            </w:r>
          </w:p>
        </w:tc>
        <w:tc>
          <w:tcPr>
            <w:tcW w:w="858"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2</w:t>
            </w:r>
          </w:p>
        </w:tc>
        <w:tc>
          <w:tcPr>
            <w:tcW w:w="710" w:type="dxa"/>
            <w:vMerge w:val="restart"/>
            <w:vAlign w:val="center"/>
          </w:tcPr>
          <w:p>
            <w:pPr>
              <w:spacing w:line="400" w:lineRule="exact"/>
              <w:jc w:val="center"/>
              <w:rPr>
                <w:rFonts w:ascii="仿宋_GB2312" w:hAnsi="宋体" w:eastAsia="仿宋_GB2312"/>
                <w:sz w:val="24"/>
              </w:rPr>
            </w:pPr>
            <w:r>
              <w:rPr>
                <w:rFonts w:hint="eastAsia" w:ascii="仿宋_GB2312" w:hAnsi="宋体" w:eastAsia="仿宋_GB2312"/>
                <w:sz w:val="24"/>
              </w:rPr>
              <w:t>标志</w:t>
            </w:r>
          </w:p>
        </w:tc>
        <w:tc>
          <w:tcPr>
            <w:tcW w:w="1841"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名称</w:t>
            </w:r>
          </w:p>
        </w:tc>
        <w:tc>
          <w:tcPr>
            <w:tcW w:w="2123" w:type="dxa"/>
            <w:vMerge w:val="restart"/>
            <w:vAlign w:val="center"/>
          </w:tcPr>
          <w:p>
            <w:pPr>
              <w:spacing w:line="400" w:lineRule="exact"/>
              <w:jc w:val="center"/>
              <w:rPr>
                <w:rFonts w:ascii="仿宋_GB2312" w:hAnsi="宋体" w:eastAsia="仿宋_GB2312"/>
                <w:sz w:val="24"/>
              </w:rPr>
            </w:pPr>
            <w:r>
              <w:rPr>
                <w:rFonts w:ascii="仿宋_GB2312" w:hAnsi="宋体" w:eastAsia="仿宋_GB2312"/>
                <w:sz w:val="24"/>
              </w:rPr>
              <w:t>明示GB</w:t>
            </w:r>
            <w:r>
              <w:rPr>
                <w:rFonts w:hint="eastAsia" w:ascii="仿宋_GB2312" w:hAnsi="宋体" w:eastAsia="仿宋_GB2312"/>
                <w:sz w:val="24"/>
              </w:rPr>
              <w:t>/T 21661</w:t>
            </w:r>
            <w:r>
              <w:rPr>
                <w:rFonts w:ascii="仿宋_GB2312" w:hAnsi="宋体" w:eastAsia="仿宋_GB2312"/>
                <w:sz w:val="24"/>
              </w:rPr>
              <w:t xml:space="preserve"> 4.1或企业标准</w:t>
            </w:r>
          </w:p>
        </w:tc>
        <w:tc>
          <w:tcPr>
            <w:tcW w:w="1273" w:type="dxa"/>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强制性</w:t>
            </w: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w:t>
            </w:r>
            <w:r>
              <w:rPr>
                <w:rFonts w:ascii="仿宋_GB2312" w:hAnsi="宋体" w:eastAsia="仿宋_GB2312"/>
                <w:sz w:val="24"/>
              </w:rPr>
              <w:t>0 6.1.2</w:t>
            </w:r>
          </w:p>
        </w:tc>
        <w:tc>
          <w:tcPr>
            <w:tcW w:w="858" w:type="dxa"/>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Merge w:val="continue"/>
            <w:vAlign w:val="center"/>
          </w:tcPr>
          <w:p>
            <w:pPr>
              <w:spacing w:line="320" w:lineRule="exact"/>
              <w:jc w:val="center"/>
              <w:rPr>
                <w:rFonts w:ascii="仿宋_GB2312" w:hAnsi="宋体" w:eastAsia="仿宋_GB2312"/>
                <w:sz w:val="24"/>
              </w:rPr>
            </w:pPr>
          </w:p>
        </w:tc>
        <w:tc>
          <w:tcPr>
            <w:tcW w:w="710" w:type="dxa"/>
            <w:vMerge w:val="continue"/>
            <w:vAlign w:val="center"/>
          </w:tcPr>
          <w:p>
            <w:pPr>
              <w:spacing w:line="400" w:lineRule="exact"/>
              <w:jc w:val="center"/>
              <w:rPr>
                <w:rFonts w:ascii="仿宋_GB2312" w:hAnsi="宋体" w:eastAsia="仿宋_GB2312"/>
                <w:sz w:val="24"/>
              </w:rPr>
            </w:pPr>
          </w:p>
        </w:tc>
        <w:tc>
          <w:tcPr>
            <w:tcW w:w="1841"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公称承重</w:t>
            </w:r>
          </w:p>
        </w:tc>
        <w:tc>
          <w:tcPr>
            <w:tcW w:w="2123" w:type="dxa"/>
            <w:vMerge w:val="continue"/>
            <w:vAlign w:val="center"/>
          </w:tcPr>
          <w:p>
            <w:pPr>
              <w:spacing w:line="400" w:lineRule="exact"/>
              <w:jc w:val="center"/>
              <w:rPr>
                <w:rFonts w:ascii="仿宋_GB2312" w:hAnsi="宋体" w:eastAsia="仿宋_GB2312"/>
                <w:sz w:val="24"/>
              </w:rPr>
            </w:pPr>
          </w:p>
        </w:tc>
        <w:tc>
          <w:tcPr>
            <w:tcW w:w="1273" w:type="dxa"/>
            <w:vMerge w:val="continue"/>
            <w:vAlign w:val="center"/>
          </w:tcPr>
          <w:p>
            <w:pPr>
              <w:spacing w:line="320" w:lineRule="exact"/>
              <w:jc w:val="center"/>
              <w:rPr>
                <w:rFonts w:ascii="仿宋_GB2312" w:hAnsi="宋体" w:eastAsia="仿宋_GB2312"/>
                <w:sz w:val="24"/>
              </w:rPr>
            </w:pP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w:t>
            </w:r>
            <w:r>
              <w:rPr>
                <w:rFonts w:ascii="仿宋_GB2312" w:hAnsi="宋体" w:eastAsia="仿宋_GB2312"/>
                <w:sz w:val="24"/>
              </w:rPr>
              <w:t>0 6.1.5</w:t>
            </w:r>
          </w:p>
        </w:tc>
        <w:tc>
          <w:tcPr>
            <w:tcW w:w="858" w:type="dxa"/>
            <w:vMerge w:val="continue"/>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Merge w:val="continue"/>
            <w:vAlign w:val="center"/>
          </w:tcPr>
          <w:p>
            <w:pPr>
              <w:spacing w:line="320" w:lineRule="exact"/>
              <w:jc w:val="center"/>
              <w:rPr>
                <w:rFonts w:ascii="仿宋_GB2312" w:hAnsi="宋体" w:eastAsia="仿宋_GB2312"/>
                <w:sz w:val="24"/>
              </w:rPr>
            </w:pPr>
          </w:p>
        </w:tc>
        <w:tc>
          <w:tcPr>
            <w:tcW w:w="710" w:type="dxa"/>
            <w:vMerge w:val="continue"/>
            <w:vAlign w:val="center"/>
          </w:tcPr>
          <w:p>
            <w:pPr>
              <w:spacing w:line="400" w:lineRule="exact"/>
              <w:jc w:val="center"/>
              <w:rPr>
                <w:rFonts w:ascii="仿宋_GB2312" w:hAnsi="宋体" w:eastAsia="仿宋_GB2312"/>
                <w:sz w:val="24"/>
              </w:rPr>
            </w:pPr>
          </w:p>
        </w:tc>
        <w:tc>
          <w:tcPr>
            <w:tcW w:w="1841"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标志</w:t>
            </w:r>
          </w:p>
        </w:tc>
        <w:tc>
          <w:tcPr>
            <w:tcW w:w="2123" w:type="dxa"/>
            <w:vMerge w:val="continue"/>
            <w:vAlign w:val="center"/>
          </w:tcPr>
          <w:p>
            <w:pPr>
              <w:spacing w:line="400" w:lineRule="exact"/>
              <w:jc w:val="center"/>
              <w:rPr>
                <w:rFonts w:ascii="仿宋_GB2312" w:hAnsi="宋体" w:eastAsia="仿宋_GB2312"/>
                <w:sz w:val="24"/>
              </w:rPr>
            </w:pPr>
          </w:p>
        </w:tc>
        <w:tc>
          <w:tcPr>
            <w:tcW w:w="1273" w:type="dxa"/>
            <w:vMerge w:val="continue"/>
            <w:vAlign w:val="center"/>
          </w:tcPr>
          <w:p>
            <w:pPr>
              <w:spacing w:line="320" w:lineRule="exact"/>
              <w:jc w:val="center"/>
              <w:rPr>
                <w:rFonts w:ascii="仿宋_GB2312" w:hAnsi="宋体" w:eastAsia="仿宋_GB2312"/>
                <w:sz w:val="24"/>
              </w:rPr>
            </w:pP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w:t>
            </w:r>
            <w:r>
              <w:rPr>
                <w:rFonts w:ascii="仿宋_GB2312" w:hAnsi="宋体" w:eastAsia="仿宋_GB2312"/>
                <w:sz w:val="24"/>
              </w:rPr>
              <w:t>0 6.2</w:t>
            </w:r>
          </w:p>
        </w:tc>
        <w:tc>
          <w:tcPr>
            <w:tcW w:w="858" w:type="dxa"/>
            <w:vMerge w:val="continue"/>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Merge w:val="continue"/>
            <w:vAlign w:val="center"/>
          </w:tcPr>
          <w:p>
            <w:pPr>
              <w:spacing w:line="320" w:lineRule="exact"/>
              <w:jc w:val="center"/>
              <w:rPr>
                <w:rFonts w:ascii="仿宋_GB2312" w:hAnsi="宋体" w:eastAsia="仿宋_GB2312"/>
                <w:sz w:val="24"/>
              </w:rPr>
            </w:pPr>
          </w:p>
        </w:tc>
        <w:tc>
          <w:tcPr>
            <w:tcW w:w="710" w:type="dxa"/>
            <w:vMerge w:val="continue"/>
            <w:vAlign w:val="center"/>
          </w:tcPr>
          <w:p>
            <w:pPr>
              <w:spacing w:line="400" w:lineRule="exact"/>
              <w:jc w:val="center"/>
              <w:rPr>
                <w:rFonts w:ascii="仿宋_GB2312" w:hAnsi="宋体" w:eastAsia="仿宋_GB2312"/>
                <w:sz w:val="24"/>
              </w:rPr>
            </w:pPr>
          </w:p>
        </w:tc>
        <w:tc>
          <w:tcPr>
            <w:tcW w:w="1841"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生产厂家</w:t>
            </w:r>
          </w:p>
        </w:tc>
        <w:tc>
          <w:tcPr>
            <w:tcW w:w="2123" w:type="dxa"/>
            <w:vMerge w:val="continue"/>
            <w:vAlign w:val="center"/>
          </w:tcPr>
          <w:p>
            <w:pPr>
              <w:spacing w:line="400" w:lineRule="exact"/>
              <w:jc w:val="center"/>
              <w:rPr>
                <w:rFonts w:ascii="仿宋_GB2312" w:hAnsi="宋体" w:eastAsia="仿宋_GB2312"/>
                <w:sz w:val="24"/>
              </w:rPr>
            </w:pPr>
          </w:p>
        </w:tc>
        <w:tc>
          <w:tcPr>
            <w:tcW w:w="1273" w:type="dxa"/>
            <w:vMerge w:val="continue"/>
            <w:vAlign w:val="center"/>
          </w:tcPr>
          <w:p>
            <w:pPr>
              <w:spacing w:line="320" w:lineRule="exact"/>
              <w:jc w:val="center"/>
              <w:rPr>
                <w:rFonts w:ascii="仿宋_GB2312" w:hAnsi="宋体" w:eastAsia="仿宋_GB2312"/>
                <w:sz w:val="24"/>
              </w:rPr>
            </w:pP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w:t>
            </w:r>
            <w:r>
              <w:rPr>
                <w:rFonts w:ascii="仿宋_GB2312" w:hAnsi="宋体" w:eastAsia="仿宋_GB2312"/>
                <w:sz w:val="24"/>
              </w:rPr>
              <w:t>0 6.7</w:t>
            </w:r>
          </w:p>
        </w:tc>
        <w:tc>
          <w:tcPr>
            <w:tcW w:w="858" w:type="dxa"/>
            <w:vMerge w:val="continue"/>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3</w:t>
            </w:r>
          </w:p>
        </w:tc>
        <w:tc>
          <w:tcPr>
            <w:tcW w:w="2551"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提吊试验</w:t>
            </w:r>
          </w:p>
        </w:tc>
        <w:tc>
          <w:tcPr>
            <w:tcW w:w="2123" w:type="dxa"/>
            <w:vAlign w:val="center"/>
          </w:tcPr>
          <w:p>
            <w:pPr>
              <w:spacing w:line="400" w:lineRule="exact"/>
              <w:jc w:val="center"/>
              <w:rPr>
                <w:rFonts w:ascii="仿宋_GB2312" w:hAnsi="宋体" w:eastAsia="仿宋_GB2312"/>
                <w:sz w:val="24"/>
              </w:rPr>
            </w:pPr>
            <w:r>
              <w:rPr>
                <w:rFonts w:ascii="仿宋_GB2312" w:hAnsi="宋体" w:eastAsia="仿宋_GB2312"/>
                <w:sz w:val="24"/>
              </w:rPr>
              <w:t>明示GB</w:t>
            </w:r>
            <w:r>
              <w:rPr>
                <w:rFonts w:hint="eastAsia" w:ascii="仿宋_GB2312" w:hAnsi="宋体" w:eastAsia="仿宋_GB2312"/>
                <w:sz w:val="24"/>
              </w:rPr>
              <w:t>/T 21661</w:t>
            </w:r>
            <w:r>
              <w:rPr>
                <w:rFonts w:ascii="仿宋_GB2312" w:hAnsi="宋体" w:eastAsia="仿宋_GB2312"/>
                <w:sz w:val="24"/>
              </w:rPr>
              <w:t xml:space="preserve"> 4.4或企业标准</w:t>
            </w:r>
          </w:p>
        </w:tc>
        <w:tc>
          <w:tcPr>
            <w:tcW w:w="1273"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强制性</w:t>
            </w: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21661</w:t>
            </w:r>
            <w:r>
              <w:rPr>
                <w:rFonts w:ascii="仿宋_GB2312" w:hAnsi="宋体" w:eastAsia="仿宋_GB2312"/>
                <w:sz w:val="24"/>
              </w:rPr>
              <w:t xml:space="preserve"> 5.6.1</w:t>
            </w:r>
          </w:p>
        </w:tc>
        <w:tc>
          <w:tcPr>
            <w:tcW w:w="858"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4</w:t>
            </w:r>
          </w:p>
        </w:tc>
        <w:tc>
          <w:tcPr>
            <w:tcW w:w="2551"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跌落试验</w:t>
            </w:r>
          </w:p>
        </w:tc>
        <w:tc>
          <w:tcPr>
            <w:tcW w:w="2123" w:type="dxa"/>
            <w:vAlign w:val="center"/>
          </w:tcPr>
          <w:p>
            <w:pPr>
              <w:spacing w:line="400" w:lineRule="exact"/>
              <w:jc w:val="center"/>
              <w:rPr>
                <w:rFonts w:ascii="仿宋_GB2312" w:hAnsi="宋体" w:eastAsia="仿宋_GB2312"/>
                <w:sz w:val="24"/>
              </w:rPr>
            </w:pPr>
            <w:r>
              <w:rPr>
                <w:rFonts w:ascii="仿宋_GB2312" w:hAnsi="宋体" w:eastAsia="仿宋_GB2312"/>
                <w:sz w:val="24"/>
              </w:rPr>
              <w:t>明示GB</w:t>
            </w:r>
            <w:r>
              <w:rPr>
                <w:rFonts w:hint="eastAsia" w:ascii="仿宋_GB2312" w:hAnsi="宋体" w:eastAsia="仿宋_GB2312"/>
                <w:sz w:val="24"/>
              </w:rPr>
              <w:t>/T 21661</w:t>
            </w:r>
            <w:r>
              <w:rPr>
                <w:rFonts w:ascii="仿宋_GB2312" w:hAnsi="宋体" w:eastAsia="仿宋_GB2312"/>
                <w:sz w:val="24"/>
              </w:rPr>
              <w:t xml:space="preserve"> 4.4或企业标准</w:t>
            </w:r>
          </w:p>
        </w:tc>
        <w:tc>
          <w:tcPr>
            <w:tcW w:w="1273"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强制性</w:t>
            </w: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21661</w:t>
            </w:r>
            <w:r>
              <w:rPr>
                <w:rFonts w:ascii="仿宋_GB2312" w:hAnsi="宋体" w:eastAsia="仿宋_GB2312"/>
                <w:sz w:val="24"/>
              </w:rPr>
              <w:t xml:space="preserve"> 5.6.2</w:t>
            </w:r>
          </w:p>
        </w:tc>
        <w:tc>
          <w:tcPr>
            <w:tcW w:w="858"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5</w:t>
            </w:r>
          </w:p>
        </w:tc>
        <w:tc>
          <w:tcPr>
            <w:tcW w:w="2551"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漏水性</w:t>
            </w:r>
          </w:p>
        </w:tc>
        <w:tc>
          <w:tcPr>
            <w:tcW w:w="2123" w:type="dxa"/>
            <w:vAlign w:val="center"/>
          </w:tcPr>
          <w:p>
            <w:pPr>
              <w:spacing w:line="400" w:lineRule="exact"/>
              <w:jc w:val="center"/>
              <w:rPr>
                <w:rFonts w:ascii="仿宋_GB2312" w:hAnsi="宋体" w:eastAsia="仿宋_GB2312"/>
                <w:sz w:val="24"/>
              </w:rPr>
            </w:pPr>
            <w:r>
              <w:rPr>
                <w:rFonts w:ascii="仿宋_GB2312" w:hAnsi="宋体" w:eastAsia="仿宋_GB2312"/>
                <w:sz w:val="24"/>
              </w:rPr>
              <w:t>明示GB</w:t>
            </w:r>
            <w:r>
              <w:rPr>
                <w:rFonts w:hint="eastAsia" w:ascii="仿宋_GB2312" w:hAnsi="宋体" w:eastAsia="仿宋_GB2312"/>
                <w:sz w:val="24"/>
              </w:rPr>
              <w:t>/T 21661</w:t>
            </w:r>
            <w:r>
              <w:rPr>
                <w:rFonts w:ascii="仿宋_GB2312" w:hAnsi="宋体" w:eastAsia="仿宋_GB2312"/>
                <w:sz w:val="24"/>
              </w:rPr>
              <w:t xml:space="preserve"> 4.4或企业标准</w:t>
            </w:r>
          </w:p>
        </w:tc>
        <w:tc>
          <w:tcPr>
            <w:tcW w:w="1273"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强制性</w:t>
            </w: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21661</w:t>
            </w:r>
            <w:r>
              <w:rPr>
                <w:rFonts w:ascii="仿宋_GB2312" w:hAnsi="宋体" w:eastAsia="仿宋_GB2312"/>
                <w:sz w:val="24"/>
              </w:rPr>
              <w:t xml:space="preserve"> 5.6.3</w:t>
            </w:r>
          </w:p>
        </w:tc>
        <w:tc>
          <w:tcPr>
            <w:tcW w:w="858"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6</w:t>
            </w:r>
          </w:p>
        </w:tc>
        <w:tc>
          <w:tcPr>
            <w:tcW w:w="2551"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封合强度</w:t>
            </w:r>
          </w:p>
        </w:tc>
        <w:tc>
          <w:tcPr>
            <w:tcW w:w="2123" w:type="dxa"/>
            <w:vAlign w:val="center"/>
          </w:tcPr>
          <w:p>
            <w:pPr>
              <w:spacing w:line="400" w:lineRule="exact"/>
              <w:jc w:val="center"/>
              <w:rPr>
                <w:rFonts w:ascii="仿宋_GB2312" w:hAnsi="宋体" w:eastAsia="仿宋_GB2312"/>
                <w:sz w:val="24"/>
              </w:rPr>
            </w:pPr>
            <w:r>
              <w:rPr>
                <w:rFonts w:ascii="仿宋_GB2312" w:hAnsi="宋体" w:eastAsia="仿宋_GB2312"/>
                <w:sz w:val="24"/>
              </w:rPr>
              <w:t>明示GB</w:t>
            </w:r>
            <w:r>
              <w:rPr>
                <w:rFonts w:hint="eastAsia" w:ascii="仿宋_GB2312" w:hAnsi="宋体" w:eastAsia="仿宋_GB2312"/>
                <w:sz w:val="24"/>
              </w:rPr>
              <w:t>/T 21661</w:t>
            </w:r>
            <w:r>
              <w:rPr>
                <w:rFonts w:ascii="仿宋_GB2312" w:hAnsi="宋体" w:eastAsia="仿宋_GB2312"/>
                <w:sz w:val="24"/>
              </w:rPr>
              <w:t xml:space="preserve"> 4.4或企业标准</w:t>
            </w:r>
          </w:p>
        </w:tc>
        <w:tc>
          <w:tcPr>
            <w:tcW w:w="1273"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强制性</w:t>
            </w: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21661</w:t>
            </w:r>
            <w:r>
              <w:rPr>
                <w:rFonts w:ascii="仿宋_GB2312" w:hAnsi="宋体" w:eastAsia="仿宋_GB2312"/>
                <w:sz w:val="24"/>
              </w:rPr>
              <w:t xml:space="preserve"> 5.6.4</w:t>
            </w:r>
          </w:p>
        </w:tc>
        <w:tc>
          <w:tcPr>
            <w:tcW w:w="858"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2"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7</w:t>
            </w:r>
          </w:p>
        </w:tc>
        <w:tc>
          <w:tcPr>
            <w:tcW w:w="2551"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落镖冲击</w:t>
            </w:r>
          </w:p>
        </w:tc>
        <w:tc>
          <w:tcPr>
            <w:tcW w:w="2123" w:type="dxa"/>
            <w:vAlign w:val="center"/>
          </w:tcPr>
          <w:p>
            <w:pPr>
              <w:spacing w:line="400" w:lineRule="exact"/>
              <w:jc w:val="center"/>
              <w:rPr>
                <w:rFonts w:ascii="仿宋_GB2312" w:hAnsi="宋体" w:eastAsia="仿宋_GB2312"/>
                <w:sz w:val="24"/>
              </w:rPr>
            </w:pPr>
            <w:r>
              <w:rPr>
                <w:rFonts w:ascii="仿宋_GB2312" w:hAnsi="宋体" w:eastAsia="仿宋_GB2312"/>
                <w:sz w:val="24"/>
              </w:rPr>
              <w:t>明示GB</w:t>
            </w:r>
            <w:r>
              <w:rPr>
                <w:rFonts w:hint="eastAsia" w:ascii="仿宋_GB2312" w:hAnsi="宋体" w:eastAsia="仿宋_GB2312"/>
                <w:sz w:val="24"/>
              </w:rPr>
              <w:t>/T 21661</w:t>
            </w:r>
            <w:r>
              <w:rPr>
                <w:rFonts w:ascii="仿宋_GB2312" w:hAnsi="宋体" w:eastAsia="仿宋_GB2312"/>
                <w:sz w:val="24"/>
              </w:rPr>
              <w:t xml:space="preserve"> 4.4或企业标准</w:t>
            </w:r>
          </w:p>
        </w:tc>
        <w:tc>
          <w:tcPr>
            <w:tcW w:w="1273"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强制性</w:t>
            </w:r>
          </w:p>
        </w:tc>
        <w:tc>
          <w:tcPr>
            <w:tcW w:w="1985" w:type="dxa"/>
            <w:vAlign w:val="center"/>
          </w:tcPr>
          <w:p>
            <w:pPr>
              <w:spacing w:line="400" w:lineRule="exact"/>
              <w:jc w:val="center"/>
              <w:rPr>
                <w:rFonts w:ascii="仿宋_GB2312" w:hAnsi="宋体" w:eastAsia="仿宋_GB2312"/>
                <w:sz w:val="24"/>
              </w:rPr>
            </w:pPr>
            <w:r>
              <w:rPr>
                <w:rFonts w:ascii="仿宋_GB2312" w:hAnsi="宋体" w:eastAsia="仿宋_GB2312"/>
                <w:sz w:val="24"/>
              </w:rPr>
              <w:t>GB</w:t>
            </w:r>
            <w:r>
              <w:rPr>
                <w:rFonts w:hint="eastAsia" w:ascii="仿宋_GB2312" w:hAnsi="宋体" w:eastAsia="仿宋_GB2312"/>
                <w:sz w:val="24"/>
              </w:rPr>
              <w:t>/T 21661</w:t>
            </w:r>
            <w:r>
              <w:rPr>
                <w:rFonts w:ascii="仿宋_GB2312" w:hAnsi="宋体" w:eastAsia="仿宋_GB2312"/>
                <w:sz w:val="24"/>
              </w:rPr>
              <w:t xml:space="preserve"> 5.6.5</w:t>
            </w:r>
          </w:p>
        </w:tc>
        <w:tc>
          <w:tcPr>
            <w:tcW w:w="858"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备样</w:t>
            </w:r>
          </w:p>
        </w:tc>
      </w:tr>
    </w:tbl>
    <w:p>
      <w:pPr>
        <w:snapToGrid w:val="0"/>
        <w:spacing w:line="360" w:lineRule="auto"/>
        <w:rPr>
          <w:rFonts w:ascii="仿宋_GB2312" w:hAnsi="宋体" w:eastAsia="仿宋_GB2312" w:cs="Times New Roman"/>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cs="Times New Roman"/>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s="Times New Roman"/>
          <w:sz w:val="28"/>
          <w:szCs w:val="28"/>
        </w:rPr>
        <w:t>备用</w:t>
      </w:r>
      <w:r>
        <w:rPr>
          <w:rFonts w:hint="eastAsia" w:ascii="仿宋_GB2312" w:hAnsi="宋体" w:eastAsia="仿宋_GB2312" w:cs="Times New Roman"/>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pacing w:line="360" w:lineRule="auto"/>
        <w:rPr>
          <w:rFonts w:ascii="仿宋_GB2312" w:hAnsi="宋体" w:eastAsia="仿宋_GB2312"/>
          <w:sz w:val="28"/>
          <w:szCs w:val="28"/>
        </w:rPr>
      </w:pPr>
      <w:r>
        <w:rPr>
          <w:rFonts w:hint="eastAsia" w:ascii="仿宋_GB2312" w:hAnsi="宋体" w:eastAsia="仿宋_GB2312"/>
          <w:sz w:val="28"/>
          <w:szCs w:val="28"/>
        </w:rPr>
        <w:t>7.1检验项目全部合格，判定为符合明示GB/T 21661-2008或企业标准。</w:t>
      </w:r>
    </w:p>
    <w:p>
      <w:pPr>
        <w:spacing w:line="360" w:lineRule="auto"/>
        <w:rPr>
          <w:rFonts w:ascii="仿宋_GB2312" w:hAnsi="宋体" w:eastAsia="仿宋_GB2312"/>
          <w:sz w:val="28"/>
          <w:szCs w:val="28"/>
        </w:rPr>
      </w:pPr>
      <w:r>
        <w:rPr>
          <w:rFonts w:hint="eastAsia" w:ascii="仿宋_GB2312" w:hAnsi="宋体" w:eastAsia="仿宋_GB2312"/>
          <w:sz w:val="28"/>
          <w:szCs w:val="28"/>
        </w:rPr>
        <w:t>7.2仅“厚度”项目不合格时，判定为厚度不符合国家法定要求（0.025毫米，《产业结构调整指导目录（2011年本）》）。</w:t>
      </w:r>
    </w:p>
    <w:p>
      <w:pPr>
        <w:spacing w:line="360" w:lineRule="auto"/>
        <w:rPr>
          <w:rFonts w:ascii="仿宋_GB2312" w:hAnsi="宋体" w:eastAsia="仿宋_GB2312"/>
          <w:sz w:val="28"/>
          <w:szCs w:val="28"/>
        </w:rPr>
      </w:pPr>
      <w:r>
        <w:rPr>
          <w:rFonts w:hint="eastAsia" w:ascii="仿宋_GB2312" w:hAnsi="宋体" w:eastAsia="仿宋_GB2312"/>
          <w:sz w:val="28"/>
          <w:szCs w:val="28"/>
        </w:rPr>
        <w:t>7.3检验项目（除“厚度”项目外）存在不合格项时，判定为不符合明示GB/T 21661-2008或企业标准。</w:t>
      </w:r>
    </w:p>
    <w:p>
      <w:pPr>
        <w:spacing w:line="360" w:lineRule="auto"/>
        <w:rPr>
          <w:rFonts w:ascii="仿宋_GB2312" w:hAnsi="宋体" w:eastAsia="仿宋_GB2312"/>
          <w:sz w:val="28"/>
          <w:szCs w:val="28"/>
        </w:rPr>
      </w:pPr>
      <w:r>
        <w:rPr>
          <w:rFonts w:ascii="仿宋_GB2312" w:hAnsi="宋体" w:eastAsia="仿宋_GB2312"/>
          <w:sz w:val="28"/>
          <w:szCs w:val="28"/>
        </w:rPr>
        <w:t>7.4</w:t>
      </w:r>
      <w:r>
        <w:rPr>
          <w:rFonts w:hint="eastAsia" w:ascii="仿宋_GB2312" w:hAnsi="宋体" w:eastAsia="仿宋_GB2312"/>
          <w:sz w:val="28"/>
          <w:szCs w:val="28"/>
        </w:rPr>
        <w:t>检验项目中的“厚度”和其他项目均不合格时，判定为不符合国家法定要求（0.025毫米，《产业结构调整指导目录（2011年本）》）和明示GB/T 21661-2008或企业标准。</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iCs/>
          <w:kern w:val="0"/>
          <w:sz w:val="28"/>
          <w:szCs w:val="28"/>
        </w:rPr>
        <w:t>复验</w:t>
      </w:r>
      <w:r>
        <w:rPr>
          <w:rFonts w:ascii="仿宋_GB2312" w:eastAsia="仿宋_GB2312" w:cs="Sim Sun"/>
          <w:iCs/>
          <w:kern w:val="0"/>
          <w:sz w:val="28"/>
          <w:szCs w:val="28"/>
        </w:rPr>
        <w:t>检验人员与初检检验人员不得为同一人。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587" w:right="1474" w:bottom="1587"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412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Changmy</dc:creator>
  <cp:lastModifiedBy>常孟园</cp:lastModifiedBy>
  <dcterms:modified xsi:type="dcterms:W3CDTF">2019-03-27T01:43:37Z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