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附2</w:t>
      </w:r>
    </w:p>
    <w:p>
      <w:pPr>
        <w:spacing w:line="600" w:lineRule="exact"/>
        <w:jc w:val="center"/>
        <w:rPr>
          <w:rFonts w:ascii="黑体" w:hAnsi="黑体" w:eastAsia="黑体"/>
          <w:sz w:val="36"/>
          <w:szCs w:val="36"/>
        </w:rPr>
      </w:pPr>
      <w:r>
        <w:rPr>
          <w:rFonts w:hint="eastAsia" w:ascii="黑体" w:hAnsi="黑体" w:eastAsia="黑体"/>
          <w:sz w:val="36"/>
          <w:szCs w:val="36"/>
        </w:rPr>
        <w:t>深圳市市场监督管理局</w:t>
      </w:r>
    </w:p>
    <w:p>
      <w:pPr>
        <w:spacing w:line="600" w:lineRule="exact"/>
        <w:jc w:val="center"/>
        <w:rPr>
          <w:rFonts w:ascii="黑体" w:hAnsi="黑体" w:eastAsia="黑体"/>
          <w:sz w:val="36"/>
          <w:szCs w:val="36"/>
        </w:rPr>
      </w:pPr>
      <w:r>
        <w:rPr>
          <w:rFonts w:hint="eastAsia" w:ascii="黑体" w:hAnsi="黑体" w:eastAsia="黑体"/>
          <w:sz w:val="36"/>
          <w:szCs w:val="36"/>
        </w:rPr>
        <w:t>车用尿素溶液产品质量监督抽查实施规范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：CCGF-SZ-129-</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本规范适用于深圳市生产及流通领域车用尿素溶液产品质量监督抽查。监督抽查产品范围适用于：柴油发动机氮氧化物还原剂。</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30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ascii="仿宋_GB2312" w:hAnsi="宋体" w:eastAsia="仿宋_GB2312"/>
                <w:sz w:val="24"/>
                <w:szCs w:val="21"/>
              </w:rPr>
              <w:t>柴油发动机氮氧化物还原剂</w:t>
            </w:r>
          </w:p>
        </w:tc>
        <w:tc>
          <w:tcPr>
            <w:tcW w:w="6305" w:type="dxa"/>
            <w:noWrap w:val="0"/>
            <w:vAlign w:val="center"/>
          </w:tcPr>
          <w:p>
            <w:pPr>
              <w:autoSpaceDE w:val="0"/>
              <w:autoSpaceDN w:val="0"/>
              <w:adjustRightInd w:val="0"/>
              <w:spacing w:line="300" w:lineRule="exact"/>
              <w:rPr>
                <w:rFonts w:ascii="宋体" w:hAnsi="宋体" w:cs="宋体"/>
                <w:kern w:val="0"/>
                <w:sz w:val="24"/>
              </w:rPr>
            </w:pPr>
            <w:r>
              <w:rPr>
                <w:rFonts w:hint="eastAsia" w:ascii="仿宋_GB2312" w:eastAsia="仿宋_GB2312" w:cs="宋体"/>
                <w:kern w:val="0"/>
                <w:sz w:val="24"/>
                <w:szCs w:val="21"/>
              </w:rPr>
              <w:t>车用尿素溶液（AUS32）、柴油车尾气处理液、柴油发动机尾气处理液（车用尿素溶液）等。</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3"/>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44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ascii="仿宋_GB2312" w:hAnsi="宋体" w:eastAsia="仿宋_GB2312"/>
                <w:sz w:val="24"/>
                <w:szCs w:val="21"/>
              </w:rPr>
              <w:t>柴油发动机氮氧化物还原剂</w:t>
            </w:r>
          </w:p>
        </w:tc>
        <w:tc>
          <w:tcPr>
            <w:tcW w:w="6447" w:type="dxa"/>
            <w:noWrap w:val="0"/>
            <w:vAlign w:val="center"/>
          </w:tcPr>
          <w:p>
            <w:pPr>
              <w:autoSpaceDE w:val="0"/>
              <w:autoSpaceDN w:val="0"/>
              <w:adjustRightInd w:val="0"/>
              <w:spacing w:line="300" w:lineRule="exact"/>
              <w:jc w:val="left"/>
              <w:rPr>
                <w:rFonts w:ascii="仿宋_GB2312" w:hAnsi="宋体" w:eastAsia="仿宋_GB2312"/>
                <w:sz w:val="24"/>
                <w:szCs w:val="24"/>
              </w:rPr>
            </w:pPr>
            <w:r>
              <w:rPr>
                <w:rFonts w:hint="eastAsia" w:ascii="仿宋_GB2312" w:hAnsi="宋体" w:eastAsia="仿宋_GB2312"/>
                <w:sz w:val="24"/>
                <w:szCs w:val="24"/>
              </w:rPr>
              <w:t>用于柴油车选择性催化还原系统用氮氧化物还原剂——尿素水溶液（AUS32）,亦被称为车用尿素溶液（AUS32）。</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p>
      <w:pPr>
        <w:snapToGrid w:val="0"/>
        <w:spacing w:line="360" w:lineRule="auto"/>
        <w:ind w:firstLine="548" w:firstLineChars="196"/>
        <w:rPr>
          <w:rFonts w:hint="eastAsia" w:ascii="仿宋_GB2312" w:hAnsi="宋体" w:eastAsia="仿宋_GB2312"/>
          <w:sz w:val="28"/>
          <w:szCs w:val="28"/>
        </w:rPr>
      </w:pP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标准号</w:t>
            </w:r>
          </w:p>
        </w:tc>
        <w:tc>
          <w:tcPr>
            <w:tcW w:w="440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标准名称</w:t>
            </w:r>
          </w:p>
        </w:tc>
        <w:tc>
          <w:tcPr>
            <w:tcW w:w="278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29518-2013</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w:t>
            </w:r>
            <w:r>
              <w:rPr>
                <w:rFonts w:hint="eastAsia" w:ascii="仿宋_GB2312" w:hAnsi="宋体" w:eastAsia="仿宋_GB2312"/>
                <w:szCs w:val="21"/>
              </w:rPr>
              <w:t>柴油发动机氮氧化物还原剂 尿素水溶液（AUS32）</w:t>
            </w:r>
            <w:r>
              <w:rPr>
                <w:rFonts w:hint="eastAsia" w:ascii="仿宋_GB2312" w:hAnsi="宋体" w:eastAsia="仿宋_GB2312"/>
                <w:sz w:val="24"/>
                <w:szCs w:val="21"/>
              </w:rPr>
              <w:t>》</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ind w:firstLine="560"/>
        <w:rPr>
          <w:rFonts w:ascii="仿宋_GB2312" w:hAnsi="宋体" w:eastAsia="仿宋_GB2312"/>
          <w:b/>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p>
    <w:p>
      <w:pPr>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pacing w:before="80" w:after="112"/>
              <w:ind w:firstLine="0" w:firstLineChars="0"/>
              <w:jc w:val="center"/>
              <w:rPr>
                <w:sz w:val="24"/>
              </w:rPr>
            </w:pPr>
            <w:r>
              <w:rPr>
                <w:rFonts w:hint="eastAsia"/>
                <w:sz w:val="24"/>
              </w:rPr>
              <w:t>车用尿素溶液</w:t>
            </w:r>
          </w:p>
        </w:tc>
        <w:tc>
          <w:tcPr>
            <w:tcW w:w="3402" w:type="dxa"/>
            <w:noWrap w:val="0"/>
            <w:vAlign w:val="center"/>
          </w:tcPr>
          <w:p>
            <w:pPr>
              <w:pStyle w:val="5"/>
              <w:spacing w:before="80" w:after="112"/>
              <w:ind w:firstLine="0" w:firstLineChars="0"/>
              <w:jc w:val="center"/>
              <w:rPr>
                <w:rFonts w:hAnsi="宋体" w:cs="宋体"/>
                <w:bCs w:val="0"/>
                <w:kern w:val="2"/>
                <w:sz w:val="24"/>
              </w:rPr>
            </w:pPr>
            <w:r>
              <w:rPr>
                <w:rFonts w:hint="eastAsia" w:hAnsi="宋体" w:cs="宋体"/>
                <w:bCs w:val="0"/>
                <w:kern w:val="2"/>
                <w:sz w:val="24"/>
              </w:rPr>
              <w:t>独立包装,总量不小于1L</w:t>
            </w:r>
          </w:p>
        </w:tc>
        <w:tc>
          <w:tcPr>
            <w:tcW w:w="3198" w:type="dxa"/>
            <w:noWrap w:val="0"/>
            <w:vAlign w:val="center"/>
          </w:tcPr>
          <w:p>
            <w:pPr>
              <w:pStyle w:val="5"/>
              <w:spacing w:before="80" w:after="112"/>
              <w:ind w:firstLine="0" w:firstLineChars="0"/>
              <w:jc w:val="center"/>
              <w:rPr>
                <w:rFonts w:hAnsi="宋体"/>
                <w:bCs w:val="0"/>
                <w:kern w:val="2"/>
                <w:sz w:val="24"/>
              </w:rPr>
            </w:pPr>
            <w:r>
              <w:rPr>
                <w:rFonts w:hint="eastAsia" w:hAnsi="宋体" w:cs="宋体"/>
                <w:bCs w:val="0"/>
                <w:kern w:val="2"/>
                <w:sz w:val="24"/>
              </w:rPr>
              <w:t>——</w:t>
            </w:r>
          </w:p>
        </w:tc>
      </w:tr>
    </w:tbl>
    <w:p>
      <w:pPr>
        <w:snapToGrid w:val="0"/>
        <w:spacing w:line="360" w:lineRule="auto"/>
        <w:ind w:left="420" w:leftChars="200"/>
        <w:rPr>
          <w:rFonts w:ascii="仿宋_GB2312" w:hAnsi="宋体" w:eastAsia="仿宋_GB2312"/>
          <w:sz w:val="28"/>
          <w:szCs w:val="28"/>
        </w:rPr>
      </w:pPr>
      <w:r>
        <w:rPr>
          <w:rFonts w:hint="eastAsia" w:ascii="仿宋_GB2312" w:hAnsi="宋体" w:eastAsia="仿宋_GB2312"/>
          <w:sz w:val="28"/>
          <w:szCs w:val="28"/>
        </w:rPr>
        <w:t>在生产领域和流通领域抽样时，检验样品及备用样品均带回承检单位。</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样品处置</w:t>
      </w:r>
    </w:p>
    <w:p>
      <w:pPr>
        <w:snapToGrid w:val="0"/>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5</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抽样单</w:t>
      </w:r>
    </w:p>
    <w:p>
      <w:pPr>
        <w:snapToGrid w:val="0"/>
        <w:spacing w:line="360" w:lineRule="auto"/>
        <w:ind w:firstLine="560" w:firstLineChars="200"/>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3"/>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721"/>
        <w:gridCol w:w="2127"/>
        <w:gridCol w:w="1276"/>
        <w:gridCol w:w="192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4"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序号</w:t>
            </w:r>
          </w:p>
        </w:tc>
        <w:tc>
          <w:tcPr>
            <w:tcW w:w="2721"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检验项目</w:t>
            </w:r>
          </w:p>
        </w:tc>
        <w:tc>
          <w:tcPr>
            <w:tcW w:w="2127"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检测依据</w:t>
            </w:r>
          </w:p>
        </w:tc>
        <w:tc>
          <w:tcPr>
            <w:tcW w:w="1276"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项目性质</w:t>
            </w:r>
          </w:p>
        </w:tc>
        <w:tc>
          <w:tcPr>
            <w:tcW w:w="1923"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检测方法</w:t>
            </w:r>
          </w:p>
        </w:tc>
        <w:tc>
          <w:tcPr>
            <w:tcW w:w="89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尿素含量</w:t>
            </w:r>
          </w:p>
        </w:tc>
        <w:tc>
          <w:tcPr>
            <w:tcW w:w="2127" w:type="dxa"/>
            <w:noWrap w:val="0"/>
            <w:vAlign w:val="center"/>
          </w:tcPr>
          <w:p>
            <w:pPr>
              <w:jc w:val="center"/>
              <w:rPr>
                <w:rFonts w:ascii="仿宋_GB2312" w:hAnsi="仿宋" w:eastAsia="仿宋_GB2312" w:cs="宋体"/>
                <w:sz w:val="24"/>
                <w:szCs w:val="24"/>
              </w:rP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cs="宋体"/>
                <w:sz w:val="24"/>
                <w:szCs w:val="24"/>
              </w:rPr>
            </w:pPr>
            <w:r>
              <w:rPr>
                <w:rFonts w:hint="eastAsia" w:ascii="仿宋_GB2312" w:hAnsi="仿宋" w:eastAsia="仿宋_GB2312"/>
                <w:sz w:val="24"/>
                <w:szCs w:val="24"/>
              </w:rPr>
              <w:t>附录A</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2</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vertAlign w:val="superscript"/>
              </w:rPr>
            </w:pPr>
            <w:r>
              <w:rPr>
                <w:rFonts w:hint="eastAsia" w:ascii="仿宋_GB2312" w:hAnsi="宋体" w:eastAsia="仿宋_GB2312"/>
                <w:sz w:val="24"/>
                <w:szCs w:val="24"/>
              </w:rPr>
              <w:t>密度（20℃）</w:t>
            </w:r>
          </w:p>
        </w:tc>
        <w:tc>
          <w:tcPr>
            <w:tcW w:w="2127" w:type="dxa"/>
            <w:noWrap w:val="0"/>
            <w:vAlign w:val="center"/>
          </w:tcPr>
          <w:p>
            <w:pPr>
              <w:jc w:val="center"/>
              <w:rPr>
                <w:rFonts w:ascii="仿宋_GB2312" w:hAnsi="仿宋" w:eastAsia="仿宋_GB2312" w:cs="宋体"/>
                <w:sz w:val="24"/>
                <w:szCs w:val="24"/>
              </w:rP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cs="宋体"/>
                <w:sz w:val="24"/>
                <w:szCs w:val="24"/>
              </w:rPr>
            </w:pPr>
            <w:r>
              <w:rPr>
                <w:rFonts w:hint="eastAsia" w:ascii="仿宋_GB2312" w:hAnsi="仿宋" w:eastAsia="仿宋_GB2312"/>
                <w:sz w:val="24"/>
                <w:szCs w:val="24"/>
              </w:rPr>
              <w:t>SH/T 0604-2000</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3</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折光率</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ascii="仿宋_GB2312" w:hAnsi="仿宋" w:eastAsia="仿宋_GB2312"/>
                <w:sz w:val="24"/>
                <w:szCs w:val="24"/>
              </w:rPr>
              <w:t>GB/T</w:t>
            </w:r>
            <w:r>
              <w:rPr>
                <w:rFonts w:hint="eastAsia" w:ascii="仿宋_GB2312" w:hAnsi="仿宋" w:eastAsia="仿宋_GB2312"/>
                <w:sz w:val="24"/>
                <w:szCs w:val="24"/>
              </w:rPr>
              <w:t xml:space="preserve"> </w:t>
            </w:r>
            <w:r>
              <w:rPr>
                <w:rFonts w:ascii="仿宋_GB2312" w:hAnsi="仿宋" w:eastAsia="仿宋_GB2312"/>
                <w:sz w:val="24"/>
                <w:szCs w:val="24"/>
              </w:rPr>
              <w:t>614-2006</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4</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碱度</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附录B</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5</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缩二脲</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附录C</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6</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醛类</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附录D</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7</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不溶物</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附录E</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8</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磷酸盐</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附录F</w:t>
            </w:r>
          </w:p>
        </w:tc>
        <w:tc>
          <w:tcPr>
            <w:tcW w:w="895" w:type="dxa"/>
            <w:noWrap w:val="0"/>
            <w:vAlign w:val="center"/>
          </w:tcPr>
          <w:p>
            <w:pPr>
              <w:jc w:val="center"/>
              <w:rPr>
                <w:rFonts w:ascii="仿宋_GB2312" w:hAnsi="仿宋" w:eastAsia="仿宋_GB2312"/>
                <w:bCs/>
                <w:sz w:val="24"/>
                <w:szCs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9</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钙</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jc w:val="center"/>
              <w:rPr>
                <w:rFonts w:ascii="仿宋_GB2312" w:hAnsi="仿宋" w:eastAsia="仿宋_GB2312"/>
                <w:bCs/>
                <w:sz w:val="24"/>
                <w:szCs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10</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铁</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11</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铜</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12</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锌</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13</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铬</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14</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镍</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15</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铝</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16</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镁</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17</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钠</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18</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钾</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附录G</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4"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19</w:t>
            </w:r>
          </w:p>
        </w:tc>
        <w:tc>
          <w:tcPr>
            <w:tcW w:w="2721" w:type="dxa"/>
            <w:noWrap w:val="0"/>
            <w:vAlign w:val="center"/>
          </w:tcPr>
          <w:p>
            <w:pPr>
              <w:pStyle w:val="2"/>
              <w:snapToGrid w:val="0"/>
              <w:spacing w:before="160" w:beforeLines="50" w:after="160" w:afterLines="50"/>
              <w:jc w:val="center"/>
              <w:rPr>
                <w:rFonts w:ascii="仿宋_GB2312" w:hAnsi="宋体" w:eastAsia="仿宋_GB2312"/>
                <w:sz w:val="24"/>
                <w:szCs w:val="24"/>
              </w:rPr>
            </w:pPr>
            <w:r>
              <w:rPr>
                <w:rFonts w:hint="eastAsia" w:ascii="仿宋_GB2312" w:hAnsi="宋体" w:eastAsia="仿宋_GB2312"/>
                <w:sz w:val="24"/>
                <w:szCs w:val="24"/>
              </w:rPr>
              <w:t>一致性确认</w:t>
            </w:r>
          </w:p>
        </w:tc>
        <w:tc>
          <w:tcPr>
            <w:tcW w:w="2127" w:type="dxa"/>
            <w:noWrap w:val="0"/>
            <w:vAlign w:val="center"/>
          </w:tcPr>
          <w:p>
            <w:pPr>
              <w:jc w:val="center"/>
            </w:pPr>
            <w:r>
              <w:rPr>
                <w:rFonts w:hint="eastAsia" w:ascii="仿宋_GB2312" w:hAnsi="仿宋" w:eastAsia="仿宋_GB2312"/>
                <w:sz w:val="24"/>
                <w:szCs w:val="24"/>
              </w:rPr>
              <w:t>GB 29518-2013 5</w:t>
            </w:r>
          </w:p>
        </w:tc>
        <w:tc>
          <w:tcPr>
            <w:tcW w:w="1276" w:type="dxa"/>
            <w:noWrap w:val="0"/>
            <w:vAlign w:val="center"/>
          </w:tcPr>
          <w:p>
            <w:pPr>
              <w:jc w:val="center"/>
            </w:pPr>
            <w:r>
              <w:rPr>
                <w:rFonts w:hint="eastAsia" w:ascii="仿宋_GB2312" w:hAnsi="仿宋" w:eastAsia="仿宋_GB2312"/>
                <w:sz w:val="24"/>
                <w:szCs w:val="24"/>
              </w:rPr>
              <w:t>强制性</w:t>
            </w:r>
          </w:p>
        </w:tc>
        <w:tc>
          <w:tcPr>
            <w:tcW w:w="1923" w:type="dxa"/>
            <w:noWrap w:val="0"/>
            <w:vAlign w:val="center"/>
          </w:tcPr>
          <w:p>
            <w:pPr>
              <w:jc w:val="center"/>
              <w:rPr>
                <w:rFonts w:ascii="仿宋_GB2312" w:hAnsi="仿宋" w:eastAsia="仿宋_GB2312"/>
                <w:sz w:val="24"/>
                <w:szCs w:val="24"/>
              </w:rPr>
            </w:pPr>
            <w:r>
              <w:rPr>
                <w:rFonts w:hint="eastAsia" w:ascii="仿宋_GB2312" w:hAnsi="仿宋" w:eastAsia="仿宋_GB2312"/>
                <w:sz w:val="24"/>
                <w:szCs w:val="24"/>
              </w:rPr>
              <w:t>GB 29518-2013</w:t>
            </w:r>
          </w:p>
          <w:p>
            <w:pPr>
              <w:jc w:val="center"/>
              <w:rPr>
                <w:rFonts w:ascii="仿宋_GB2312" w:hAnsi="仿宋" w:eastAsia="仿宋_GB2312"/>
                <w:sz w:val="24"/>
                <w:szCs w:val="24"/>
              </w:rPr>
            </w:pPr>
            <w:r>
              <w:rPr>
                <w:rFonts w:hint="eastAsia" w:ascii="仿宋_GB2312" w:hAnsi="仿宋" w:eastAsia="仿宋_GB2312"/>
                <w:sz w:val="24"/>
                <w:szCs w:val="24"/>
              </w:rPr>
              <w:t>附录H</w:t>
            </w:r>
          </w:p>
        </w:tc>
        <w:tc>
          <w:tcPr>
            <w:tcW w:w="895"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99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paragraph" w:customStyle="1" w:styleId="5">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2020-04-21T08:15:51Z</dcterms:created>
  <dc:creator>changmy</dc:creator>
  <cp:lastModifiedBy>常孟园</cp:lastModifiedBy>
  <dcterms:modified xsi:type="dcterms:W3CDTF">2020-04-21T08:16:00Z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