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ascii="方正小标宋简体" w:hAnsi="黑体" w:eastAsia="方正小标宋简体"/>
          <w:sz w:val="32"/>
          <w:szCs w:val="32"/>
        </w:rPr>
        <w:t>2019年深圳市“菜篮子”基地综合考评自评评分表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</w:p>
    <w:p>
      <w:pPr>
        <w:spacing w:line="360" w:lineRule="auto"/>
        <w:jc w:val="left"/>
        <w:rPr>
          <w:rFonts w:ascii="仿宋_GB2312" w:hAnsi="黑体" w:eastAsia="仿宋_GB2312"/>
          <w:sz w:val="28"/>
          <w:szCs w:val="28"/>
          <w:u w:val="single"/>
        </w:rPr>
      </w:pPr>
      <w:r>
        <w:rPr>
          <w:rFonts w:hint="eastAsia" w:ascii="仿宋_GB2312" w:hAnsi="黑体" w:eastAsia="仿宋_GB2312"/>
          <w:sz w:val="28"/>
          <w:szCs w:val="28"/>
        </w:rPr>
        <w:t>企业名称：</w:t>
      </w:r>
      <w:r>
        <w:rPr>
          <w:rFonts w:ascii="仿宋_GB2312" w:hAnsi="黑体" w:eastAsia="仿宋_GB2312"/>
          <w:sz w:val="28"/>
          <w:szCs w:val="28"/>
          <w:u w:val="single"/>
        </w:rPr>
        <w:t xml:space="preserve">              </w:t>
      </w:r>
      <w:r>
        <w:rPr>
          <w:rFonts w:ascii="仿宋_GB2312" w:hAnsi="黑体" w:eastAsia="仿宋_GB2312"/>
          <w:sz w:val="28"/>
          <w:szCs w:val="28"/>
        </w:rPr>
        <w:t xml:space="preserve">      </w:t>
      </w:r>
      <w:r>
        <w:rPr>
          <w:rFonts w:hint="eastAsia" w:ascii="仿宋_GB2312" w:hAnsi="黑体" w:eastAsia="仿宋_GB2312"/>
          <w:sz w:val="28"/>
          <w:szCs w:val="28"/>
        </w:rPr>
        <w:t>基地名称：</w:t>
      </w:r>
      <w:r>
        <w:rPr>
          <w:rFonts w:ascii="仿宋_GB2312" w:hAnsi="黑体" w:eastAsia="仿宋_GB2312"/>
          <w:sz w:val="28"/>
          <w:szCs w:val="28"/>
          <w:u w:val="single"/>
        </w:rPr>
        <w:t xml:space="preserve">                       </w:t>
      </w:r>
    </w:p>
    <w:p>
      <w:pPr>
        <w:spacing w:line="360" w:lineRule="auto"/>
        <w:jc w:val="lef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基地类别：</w:t>
      </w:r>
      <w:r>
        <w:rPr>
          <w:rFonts w:ascii="仿宋_GB2312" w:hAnsi="黑体" w:eastAsia="仿宋_GB2312"/>
          <w:sz w:val="28"/>
          <w:szCs w:val="28"/>
          <w:u w:val="single"/>
        </w:rPr>
        <w:t xml:space="preserve">              </w:t>
      </w:r>
      <w:r>
        <w:rPr>
          <w:rFonts w:ascii="仿宋_GB2312" w:hAnsi="黑体" w:eastAsia="仿宋_GB2312"/>
          <w:sz w:val="28"/>
          <w:szCs w:val="28"/>
        </w:rPr>
        <w:t xml:space="preserve">      </w:t>
      </w:r>
      <w:r>
        <w:rPr>
          <w:rFonts w:hint="eastAsia" w:ascii="仿宋_GB2312" w:hAnsi="黑体" w:eastAsia="仿宋_GB2312"/>
          <w:sz w:val="28"/>
          <w:szCs w:val="28"/>
        </w:rPr>
        <w:t>基地地址：</w:t>
      </w:r>
      <w:r>
        <w:rPr>
          <w:rFonts w:ascii="仿宋_GB2312" w:hAnsi="黑体" w:eastAsia="仿宋_GB2312"/>
          <w:sz w:val="28"/>
          <w:szCs w:val="28"/>
          <w:u w:val="single"/>
        </w:rPr>
        <w:t xml:space="preserve">                       </w:t>
      </w:r>
    </w:p>
    <w:tbl>
      <w:tblPr>
        <w:tblStyle w:val="2"/>
        <w:tblW w:w="893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0"/>
        <w:gridCol w:w="2126"/>
        <w:gridCol w:w="709"/>
        <w:gridCol w:w="2835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评分内容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评分标准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分数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评分指南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自评得分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1.基地规模（6分）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基地规模符合《暂行办法》相关要求。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蔬菜水果基地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：面积1000亩以上（本市基地300亩以上）；      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畜禽蛋奶基地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：生猪养殖年出栏1万头以上，肉禽养殖年出栏10万只以上，蛋禽年产蛋200吨以上，奶牛存栏500头以上；    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水产基地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：以池塘养殖为主的面积在1500亩以上，工厂化养殖水体1500立方米以上；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农产品加工基地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：农产品年加工量3000吨以上；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农产品流通基地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：基地设在本市区域内，市场农产品年交易额在10亿元以上，或连锁经营、电子商务农产品年交易额在1亿元以上。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基地符合要求且提供有效的佐证材料得6分，否则得0分。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2.基地建设管理（10分）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获得深圳市“菜篮子”基地认定后，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继续加强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基地基础设施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建设且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获得深圳市农业发展专项资金资助。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提供获得深圳市农业发展专项资金资助的有效证明材料得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分，否则得0分。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2018年基地产品、基地土壤或水质的抽检合格报告。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每提供一份合格报告加0.5分，最多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分。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加强标准化生产经营管理，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制定企业标准并备案。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每提供一份有效的企业标准加0.5分，最多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分。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基地所在地属于深圳扶贫协作地区。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基地所在地属于深圳扶贫协作地区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（具体到市）得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分，深圳扶贫协作地区目录名单以2019年4月26日市扶贫协作和合作交流办公室门户网站发布的公告为准。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3.质量安全管理 （20分）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3.1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制定或执行相关标准（规程），种（养）殖基地符合无公害基地生产标准，加工流通基地符合国家或地方、行业标准。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制定或执行相关标准或规定，提供有效的佐证材料得2分，否则得0分。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5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3.2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建立质量安全管理档案，确保产品质量的可追溯性。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蔬菜水果基地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：提供种（苗）繁育（1分）、肥料使用（1分）、病虫害防治（1分）、农药使用（2分）等覆盖种植全过程的档案和记录，记录可追溯，每提供一种记录得相应分数，否则得0分。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畜禽蛋奶基地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：提供种（苗）繁育（1分）、饲料配方（1分）、疫病防治（1分）、兽药使用（1分）、无害化处理（1分）等覆盖养殖全过程的档案和记录，记录可追溯，每提供一种记录得1分，否则得0分。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水产基地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：提供种（苗）繁育（1分）、饲料配方（1分）、疫病防治（1分）、鱼药使用（1分）、无害化处理（1分）等覆盖养殖全过程的档案和记录，记录可追溯，每提供一种记录得1分，否则得0分。        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农产品加工基地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：提供加工原料来源（2分）、产品销售方向（2分）、不合格产品的无害化处理（1分）等档案，记录可追溯，每提供一种记录得相应分数，否则得0分。  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农产品流通基地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：进场交易产品检测记录、不合格产品的处置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台账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，记录可追溯，每提供一种记录得2.5分，否则得0分。          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3.3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建立相应的检验（检疫）室，配备的专业技术人员，对基地产品质量安全进行检测，或长期委托有资质的第三方检测机构对基地产品进行质量安全检测。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1）建立相应的检验室得2分，否则此项及下列（2）-（4）项均得0分；（2）配备与基地产品相符合的检验设备和耗材且有购买记录得2分，否则得0分；（3）配备具有检测能力的专业技术人员得2分，否则得0分；（4）具备检验记录得2分，否则得0分；5.若长期委托有资质的第三方检测机构对基地产品进行质量安全检测，提供检验报告得8分，否则得0分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3.4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按规定采购和使用化肥、农药（兽药）、添加剂等农业投入品。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按规定采购和使用化肥、农药（兽药）、添加剂等农业投入品，提供有效的佐证材料的得5分，否则得0分。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.品牌及体系建设                  （8分）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.1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实行品牌化战略，基地经营主体具有基地产品注册商标。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提供有效的产品注册商标证书得2分，否则得0分。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.2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获得无公害生产基地或绿色食品、有机产品认定。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提供有效的相关证书得2分，否则得0分。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.3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获得HACCP或GAP、ISO9000、ISO14000、ISO22000认证。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提供有效的相关证书得2分，否则得0分。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.4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具有国家、省级或市级龙头企业资质。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提供有效的相关证书得2分，否则得0分。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.产品回运情况（6分）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.1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产品50%以上供应深圳市场。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提供基地回运深圳的产品总量占基地生产的产品总量50%及以上证明得6分，否则得0分。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自评总得分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26344E"/>
    <w:rsid w:val="6FF78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qiuww</dc:creator>
  <cp:lastModifiedBy>renxx11</cp:lastModifiedBy>
  <dcterms:modified xsi:type="dcterms:W3CDTF">2022-09-15T19:11:08Z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