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200" w:beforeAutospacing="0" w:afterLines="100" w:afterAutospacing="0"/>
        <w:ind w:firstLine="420"/>
        <w:jc w:val="center"/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黑体"/>
          <w:b w:val="0"/>
          <w:bCs/>
          <w:sz w:val="44"/>
          <w:szCs w:val="44"/>
          <w:lang w:val="en-US" w:eastAsia="zh-CN"/>
        </w:rPr>
        <w:t>2023年度专利转化运用对接活动资助项目</w:t>
      </w:r>
      <w:r>
        <w:rPr>
          <w:rFonts w:hint="default" w:ascii="方正小标宋简体" w:hAnsi="华文中宋" w:eastAsia="方正小标宋简体" w:cs="黑体"/>
          <w:b w:val="0"/>
          <w:bCs/>
          <w:sz w:val="44"/>
          <w:szCs w:val="44"/>
          <w:lang w:val="en-US" w:eastAsia="zh-CN"/>
        </w:rPr>
        <w:t>申报指南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申报内容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专利转化运用对接活动资助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设定依据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（一）《深圳市市场监督管理局专项资金管理办法》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深市监规〔2020〕3号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（二）《深圳市市场监督管理局知识产权领域专项资金操作规程》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深市监规〔2022〕10号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资助</w:t>
      </w:r>
      <w:r>
        <w:rPr>
          <w:rFonts w:hint="eastAsia" w:ascii="黑体" w:hAnsi="黑体" w:eastAsia="黑体"/>
          <w:sz w:val="32"/>
          <w:szCs w:val="32"/>
          <w:lang w:eastAsia="zh-CN"/>
        </w:rPr>
        <w:t>标准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参考对接活动的实际支出成本，每项资助不超过20万元，每年资助不超过20项。同一申请人每年可以申报不超过2个项目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申请条件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申请人应当同时符合下列条件：</w:t>
      </w:r>
    </w:p>
    <w:p>
      <w:pPr>
        <w:pStyle w:val="7"/>
        <w:widowControl/>
        <w:numPr>
          <w:ilvl w:val="0"/>
          <w:numId w:val="2"/>
        </w:numPr>
        <w:tabs>
          <w:tab w:val="left" w:pos="1469"/>
        </w:tabs>
        <w:adjustRightInd w:val="0"/>
        <w:snapToGrid w:val="0"/>
        <w:spacing w:line="600" w:lineRule="exact"/>
        <w:ind w:left="0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申请人属于依法登记注册的企事业单位、社会组织或者其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机构，在深圳从事生产经营活动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拥有稳定办公场所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pStyle w:val="7"/>
        <w:widowControl/>
        <w:numPr>
          <w:ilvl w:val="0"/>
          <w:numId w:val="2"/>
        </w:numPr>
        <w:tabs>
          <w:tab w:val="left" w:pos="1469"/>
        </w:tabs>
        <w:adjustRightInd w:val="0"/>
        <w:snapToGrid w:val="0"/>
        <w:spacing w:line="600" w:lineRule="exact"/>
        <w:ind w:left="0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积极促进深圳市专利转化运用工作，在深圳组织开展面向深圳中小微企业的高等学校、科研机构创新成果专利转化运用对接活动；</w:t>
      </w:r>
    </w:p>
    <w:p>
      <w:pPr>
        <w:pStyle w:val="7"/>
        <w:widowControl/>
        <w:numPr>
          <w:ilvl w:val="0"/>
          <w:numId w:val="2"/>
        </w:numPr>
        <w:tabs>
          <w:tab w:val="left" w:pos="1469"/>
        </w:tabs>
        <w:adjustRightInd w:val="0"/>
        <w:snapToGrid w:val="0"/>
        <w:spacing w:line="600" w:lineRule="exact"/>
        <w:ind w:left="0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对接活动已促成有关专利许可或转让项目，取得了较好的经济效益或社会效应，相关专利许可或转让合同已依法向国家知识产权局登记备案；</w:t>
      </w:r>
    </w:p>
    <w:p>
      <w:pPr>
        <w:pStyle w:val="7"/>
        <w:widowControl/>
        <w:numPr>
          <w:ilvl w:val="0"/>
          <w:numId w:val="2"/>
        </w:numPr>
        <w:tabs>
          <w:tab w:val="left" w:pos="1469"/>
        </w:tabs>
        <w:adjustRightInd w:val="0"/>
        <w:snapToGrid w:val="0"/>
        <w:spacing w:line="600" w:lineRule="exact"/>
        <w:ind w:left="0"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对接活动完成不超过1年。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不予资助的情形</w:t>
      </w:r>
    </w:p>
    <w:p>
      <w:pPr>
        <w:snapToGrid w:val="0"/>
        <w:spacing w:line="560" w:lineRule="exact"/>
        <w:ind w:firstLine="640" w:firstLineChars="200"/>
        <w:rPr>
          <w:rFonts w:eastAsia="仿宋_GB2312"/>
          <w:b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申请人存在下列情形之一的，不予资助：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（一）不符合相关法律法规、专项资金管理办法、专项资金操作规程有关要求的；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（二）经查询深圳市信用网，依法依规被纳入严重失信主体名单的；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）所申请项目已经获得市级同类资助或者奖励的；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）申请人主体已经消亡，或者进入破产清算程序的。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申请表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在申报系统上在线填写项目申报信息。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申请人主体资格材料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申请人</w:t>
      </w:r>
      <w:r>
        <w:rPr>
          <w:rFonts w:hint="default" w:ascii="仿宋_GB2312" w:eastAsia="仿宋_GB2312"/>
          <w:sz w:val="32"/>
          <w:szCs w:val="32"/>
          <w:highlight w:val="none"/>
        </w:rPr>
        <w:t>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当</w:t>
      </w:r>
      <w:r>
        <w:rPr>
          <w:rFonts w:hint="default" w:ascii="仿宋_GB2312" w:eastAsia="仿宋_GB2312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深圳市从事生产经营活动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拥有稳定办公场所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sz w:val="32"/>
          <w:szCs w:val="32"/>
          <w:highlight w:val="none"/>
        </w:rPr>
        <w:t>根据单位性质提交事业单位法人证书、民办非企业单位登记证书等主体资格材料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企业申请人无须提交营业执照</w:t>
      </w:r>
      <w:r>
        <w:rPr>
          <w:rFonts w:hint="default" w:ascii="仿宋_GB2312" w:eastAsia="仿宋_GB2312"/>
          <w:sz w:val="32"/>
          <w:szCs w:val="32"/>
          <w:highlight w:val="none"/>
        </w:rPr>
        <w:t>;</w:t>
      </w:r>
    </w:p>
    <w:p>
      <w:pPr>
        <w:numPr>
          <w:ilvl w:val="0"/>
          <w:numId w:val="0"/>
        </w:numPr>
        <w:snapToGrid w:val="0"/>
        <w:spacing w:line="560" w:lineRule="exact"/>
        <w:ind w:left="17" w:leftChars="8" w:firstLine="620" w:firstLineChars="194"/>
        <w:jc w:val="left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.申请人自行申报的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或者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委托代办机构申报的，需提交《申报项目委托情况申明》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（参照系统模板）及经办人相关资料。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专利转化运用对接活动组织开展、取得成果等方面相关材料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1.提交专利转化运用对接活动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清单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系统模板）并提供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相关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佐证材料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包括但不限于组织对接活动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的通知、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照片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、签到表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等佐证材料；</w:t>
      </w:r>
    </w:p>
    <w:p>
      <w:pPr>
        <w:pStyle w:val="2"/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</w:pPr>
      <w:r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2.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已完成的提交活动总结，未完成的</w:t>
      </w:r>
      <w:r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提交专利转化运用对接活动开展方案</w:t>
      </w: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。内容包括活动主题、时间、参与对象、服务产业类型、取得的成效或预计成效等相关情况；</w:t>
      </w:r>
    </w:p>
    <w:p>
      <w:pPr>
        <w:pStyle w:val="2"/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仿宋_GB2312" w:eastAsia="仿宋_GB2312" w:cs="Times New Roman"/>
          <w:b w:val="0"/>
          <w:kern w:val="2"/>
          <w:sz w:val="32"/>
          <w:szCs w:val="32"/>
          <w:highlight w:val="none"/>
          <w:lang w:eastAsia="zh-CN" w:bidi="ar-SA"/>
        </w:rPr>
        <w:t>3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提交已促成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相关专利许可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或转让的项目清单（系统模板）及相关佐证材料，如依法在国家知识产权局办理的专利实施许可合同备案证明、手续合格通知书等相关材料；</w:t>
      </w:r>
    </w:p>
    <w:p>
      <w:pPr>
        <w:pStyle w:val="2"/>
        <w:rPr>
          <w:rFonts w:hint="default" w:ascii="仿宋_GB2312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4.提交已促成相关专利许可或转让取得的经济效益或社会效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应</w:t>
      </w:r>
      <w:r>
        <w:rPr>
          <w:rFonts w:hint="eastAsia" w:ascii="仿宋_GB2312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说明。</w:t>
      </w:r>
    </w:p>
    <w:p>
      <w:pPr>
        <w:pStyle w:val="6"/>
        <w:numPr>
          <w:ilvl w:val="0"/>
          <w:numId w:val="3"/>
        </w:numPr>
        <w:snapToGrid w:val="0"/>
        <w:spacing w:line="560" w:lineRule="exact"/>
        <w:ind w:left="0" w:firstLine="643"/>
        <w:jc w:val="left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第三方机构依法出具的专利转化运用对接活动支出成本审计报告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提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交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有资质的第三方机构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出具的2022年度专利转化运用对接活动支出成本审计报告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jc w:val="both"/>
        <w:rPr>
          <w:rFonts w:hint="eastAsia" w:ascii="仿宋_GB2312" w:eastAsia="仿宋_GB2312"/>
          <w:b w:val="0"/>
          <w:bCs w:val="0"/>
          <w:sz w:val="32"/>
          <w:szCs w:val="32"/>
          <w:highlight w:val="lightGray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以上第（一）至第（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）项全部申请材料应当确保页面文字、公章、签名等实质性内容清晰可辨，各页面主要内容均为正向，不可横置或倒置。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受理事宜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（一）受理机关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snapToGrid w:val="0"/>
        <w:spacing w:line="560" w:lineRule="exact"/>
        <w:ind w:firstLine="642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（二）受理时间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9:00</w:t>
      </w:r>
      <w:r>
        <w:rPr>
          <w:rFonts w:hint="eastAsia" w:ascii="仿宋_GB2312" w:eastAsia="仿宋_GB2312"/>
          <w:color w:val="auto"/>
          <w:sz w:val="32"/>
          <w:szCs w:val="32"/>
        </w:rPr>
        <w:t>至</w:t>
      </w:r>
      <w:r>
        <w:rPr>
          <w:rFonts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00截止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（三）申报方式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本次资助实行网上在线申报，申报系统网址为： </w:t>
      </w: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建议使用360（极速模式）、火狐等浏览器软件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专利转化运用对接活动资助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”，阅读并勾选同意《广东省网上办事大厅服务条款》内容，点击“下一步”进入申报；或者登录广东政务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网，在“切换区域”和“部门”分别选择“深圳市”和“市场监督管理局”，点击“公共服务”，找到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专利转化运用对接活动资助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  <w:lang w:eastAsia="zh-CN"/>
        </w:rPr>
        <w:t>）”</w:t>
      </w:r>
      <w:r>
        <w:rPr>
          <w:rFonts w:hint="eastAsia" w:ascii="仿宋_GB2312" w:eastAsia="仿宋_GB2312"/>
          <w:sz w:val="32"/>
          <w:szCs w:val="32"/>
        </w:rPr>
        <w:t>，或者直接搜索“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专利转化运用对接活动资助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”，选中后进入申报页面。</w:t>
      </w:r>
      <w:r>
        <w:rPr>
          <w:rFonts w:ascii="仿宋_GB2312" w:eastAsia="仿宋_GB2312"/>
          <w:kern w:val="0"/>
          <w:sz w:val="32"/>
          <w:szCs w:val="32"/>
        </w:rPr>
        <w:t>将本指南第</w:t>
      </w:r>
      <w:r>
        <w:rPr>
          <w:rFonts w:hint="eastAsia" w:ascii="仿宋_GB2312" w:eastAsia="仿宋_GB2312"/>
          <w:kern w:val="0"/>
          <w:sz w:val="32"/>
          <w:szCs w:val="32"/>
        </w:rPr>
        <w:t>六</w:t>
      </w:r>
      <w:r>
        <w:rPr>
          <w:rFonts w:ascii="仿宋_GB2312" w:eastAsia="仿宋_GB2312"/>
          <w:kern w:val="0"/>
          <w:sz w:val="32"/>
          <w:szCs w:val="32"/>
        </w:rPr>
        <w:t>条要求的</w:t>
      </w:r>
      <w:r>
        <w:rPr>
          <w:rFonts w:hint="eastAsia" w:ascii="仿宋_GB2312" w:eastAsia="仿宋_GB2312"/>
          <w:kern w:val="0"/>
          <w:sz w:val="32"/>
          <w:szCs w:val="32"/>
        </w:rPr>
        <w:t>全部</w:t>
      </w:r>
      <w:r>
        <w:rPr>
          <w:rFonts w:ascii="仿宋_GB2312" w:eastAsia="仿宋_GB2312"/>
          <w:kern w:val="0"/>
          <w:sz w:val="32"/>
          <w:szCs w:val="32"/>
        </w:rPr>
        <w:t>申</w:t>
      </w:r>
      <w:r>
        <w:rPr>
          <w:rFonts w:hint="eastAsia" w:ascii="仿宋_GB2312" w:eastAsia="仿宋_GB2312"/>
          <w:kern w:val="0"/>
          <w:sz w:val="32"/>
          <w:szCs w:val="32"/>
        </w:rPr>
        <w:t>请</w:t>
      </w:r>
      <w:r>
        <w:rPr>
          <w:rFonts w:ascii="仿宋_GB2312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eastAsia="仿宋_GB2312"/>
          <w:kern w:val="0"/>
          <w:sz w:val="32"/>
          <w:szCs w:val="32"/>
        </w:rPr>
        <w:t>有关</w:t>
      </w:r>
      <w:r>
        <w:rPr>
          <w:rFonts w:ascii="仿宋_GB2312" w:eastAsia="仿宋_GB2312"/>
          <w:kern w:val="0"/>
          <w:sz w:val="32"/>
          <w:szCs w:val="32"/>
        </w:rPr>
        <w:t>提示要求</w:t>
      </w:r>
      <w:r>
        <w:rPr>
          <w:rFonts w:hint="eastAsia" w:ascii="仿宋_GB2312" w:eastAsia="仿宋_GB2312"/>
          <w:kern w:val="0"/>
          <w:sz w:val="32"/>
          <w:szCs w:val="32"/>
        </w:rPr>
        <w:t>分别</w:t>
      </w:r>
      <w:r>
        <w:rPr>
          <w:rFonts w:ascii="仿宋_GB2312" w:eastAsia="仿宋_GB2312"/>
          <w:kern w:val="0"/>
          <w:sz w:val="32"/>
          <w:szCs w:val="32"/>
        </w:rPr>
        <w:t>上传。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申报系统技术支持电话：0755-23602720。申报业务咨询电话：0755-83070173、0755-83070752。办公时间：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星期一至星期五（法定节假日除外）上午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决定机关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深圳市市场监督管理局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办理程序与注意事项</w:t>
      </w:r>
    </w:p>
    <w:p>
      <w:pPr>
        <w:snapToGrid w:val="0"/>
        <w:spacing w:line="560" w:lineRule="exact"/>
        <w:ind w:firstLine="642" w:firstLineChars="200"/>
        <w:jc w:val="left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（一）办理程序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</w:t>
      </w:r>
      <w:r>
        <w:rPr>
          <w:rFonts w:hint="eastAsia" w:ascii="仿宋_GB2312" w:eastAsia="仿宋_GB2312"/>
          <w:sz w:val="32"/>
          <w:lang w:eastAsia="zh-CN"/>
        </w:rPr>
        <w:t>含</w:t>
      </w:r>
      <w:r>
        <w:rPr>
          <w:rFonts w:hint="default" w:ascii="仿宋_GB2312" w:eastAsia="仿宋_GB2312"/>
          <w:sz w:val="32"/>
          <w:lang w:eastAsia="zh-CN"/>
        </w:rPr>
        <w:t>根据工作需要开展的进一步</w:t>
      </w:r>
      <w:r>
        <w:rPr>
          <w:rFonts w:hint="eastAsia" w:ascii="仿宋_GB2312" w:eastAsia="仿宋_GB2312"/>
          <w:sz w:val="32"/>
        </w:rPr>
        <w:t>实地考察）——</w:t>
      </w:r>
      <w:r>
        <w:rPr>
          <w:rFonts w:hint="default" w:ascii="仿宋_GB2312" w:eastAsia="仿宋_GB2312"/>
          <w:sz w:val="32"/>
        </w:rPr>
        <w:t>会同</w:t>
      </w:r>
      <w:r>
        <w:rPr>
          <w:rFonts w:hint="eastAsia" w:ascii="仿宋_GB2312" w:eastAsia="仿宋_GB2312"/>
          <w:sz w:val="32"/>
        </w:rPr>
        <w:t>相关部门核对数据、核查诚信情况</w:t>
      </w:r>
      <w:r>
        <w:rPr>
          <w:rFonts w:hint="default" w:ascii="仿宋_GB2312" w:eastAsia="仿宋_GB2312"/>
          <w:sz w:val="32"/>
        </w:rPr>
        <w:t>和重复资助情况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集体研究决策</w:t>
      </w:r>
      <w:r>
        <w:rPr>
          <w:rFonts w:hint="eastAsia" w:ascii="仿宋_GB2312" w:eastAsia="仿宋_GB2312"/>
          <w:sz w:val="32"/>
        </w:rPr>
        <w:t>——公示（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</w:t>
      </w:r>
      <w:r>
        <w:rPr>
          <w:rFonts w:hint="default" w:ascii="仿宋_GB2312" w:eastAsia="仿宋_GB2312"/>
          <w:sz w:val="32"/>
        </w:rPr>
        <w:t>事中资助项目签订合同</w:t>
      </w:r>
      <w:r>
        <w:rPr>
          <w:rFonts w:hint="eastAsia" w:ascii="仿宋_GB2312" w:eastAsia="仿宋_GB2312"/>
          <w:sz w:val="32"/>
        </w:rPr>
        <w:t>——财政资金预算申请——资金拨付。</w:t>
      </w:r>
    </w:p>
    <w:p>
      <w:pPr>
        <w:snapToGrid w:val="0"/>
        <w:spacing w:line="560" w:lineRule="exact"/>
        <w:ind w:firstLine="642" w:firstLineChars="200"/>
        <w:jc w:val="lef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（二）注意事项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申请人需通过广东政务服务网进行申报，账户等级须达到五级（原L3级别）核验方可进行申报。申请人名称与其银行开户名称必须完全一致，否则将影响资助申请审核结果及办理资金发放，相应后果由申请人自行承担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</w:t>
      </w:r>
      <w:r>
        <w:rPr>
          <w:rFonts w:hint="eastAsia" w:ascii="仿宋_GB2312" w:hAnsi="仿宋_GB2312" w:eastAsia="仿宋_GB2312" w:cs="仿宋_GB2312"/>
          <w:sz w:val="32"/>
          <w:szCs w:val="32"/>
        </w:rPr>
        <w:t>市知识产权主管部门对申请材料进行受理和初审，申请材料不完善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，限期予以补正；申请人应按要求进行补正，未按要求补正材料或补正材料未通过审核的，不予资助或奖励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申请人提交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资助或奖励</w:t>
      </w:r>
      <w:r>
        <w:rPr>
          <w:rFonts w:ascii="仿宋_GB2312" w:eastAsia="仿宋_GB2312"/>
          <w:sz w:val="32"/>
          <w:szCs w:val="32"/>
        </w:rPr>
        <w:t>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0"/>
          <w:numId w:val="0"/>
        </w:num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合规提示</w:t>
      </w:r>
    </w:p>
    <w:p>
      <w:pPr>
        <w:pStyle w:val="3"/>
        <w:numPr>
          <w:ilvl w:val="0"/>
          <w:numId w:val="4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  <w:highlight w:val="none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《深圳市市场监督管理局知识产权领域专项资金操作规程》第四十条规定：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申请人应对提交的申请材料真实性、合法性、有效性负责。申请人利用虚假材料或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通过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其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不正当行为骗取、套取、虚报、冒领、截留、挪用专项资金或者违反其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他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财务纪律的，按照有关规定处理；情节严重的，依照国家相关法律、法规移交有关部门处理。</w:t>
      </w:r>
    </w:p>
    <w:p>
      <w:pPr>
        <w:pStyle w:val="3"/>
        <w:numPr>
          <w:ilvl w:val="0"/>
          <w:numId w:val="4"/>
        </w:numPr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  <w:highlight w:val="none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《深圳市市场监督管理局知识产权领域专项资金操作规程》第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四</w:t>
      </w:r>
      <w:r>
        <w:rPr>
          <w:rFonts w:ascii="仿宋_GB2312" w:eastAsia="仿宋_GB2312"/>
          <w:b w:val="0"/>
          <w:sz w:val="32"/>
          <w:szCs w:val="32"/>
          <w:highlight w:val="none"/>
        </w:rPr>
        <w:t>十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一</w:t>
      </w:r>
      <w:r>
        <w:rPr>
          <w:rFonts w:ascii="仿宋_GB2312" w:eastAsia="仿宋_GB2312"/>
          <w:b w:val="0"/>
          <w:sz w:val="32"/>
          <w:szCs w:val="32"/>
          <w:highlight w:val="none"/>
        </w:rPr>
        <w:t>条规定：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受委托的第三方审计机构或专业机构在审计或核验过程中，存在弄虚作假、隐瞒事实真相或与受资助单位串通作弊并出具相关报告</w:t>
      </w:r>
      <w:r>
        <w:rPr>
          <w:rFonts w:hint="eastAsia" w:ascii="仿宋_GB2312" w:eastAsia="仿宋_GB2312"/>
          <w:b w:val="0"/>
          <w:sz w:val="32"/>
          <w:szCs w:val="32"/>
          <w:highlight w:val="none"/>
          <w:lang w:eastAsia="zh-CN"/>
        </w:rPr>
        <w:t>情形的</w:t>
      </w:r>
      <w:r>
        <w:rPr>
          <w:rFonts w:hint="eastAsia" w:ascii="仿宋_GB2312" w:eastAsia="仿宋_GB2312"/>
          <w:b w:val="0"/>
          <w:sz w:val="32"/>
          <w:szCs w:val="32"/>
          <w:highlight w:val="none"/>
        </w:rPr>
        <w:t>，按照有关规定追究责任。</w:t>
      </w:r>
    </w:p>
    <w:p>
      <w:pPr>
        <w:pStyle w:val="3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/>
        </w:rPr>
      </w:pPr>
      <w:r>
        <w:rPr>
          <w:rFonts w:ascii="仿宋_GB2312" w:eastAsia="仿宋_GB2312"/>
          <w:b w:val="0"/>
          <w:sz w:val="32"/>
          <w:szCs w:val="32"/>
          <w:highlight w:val="none"/>
        </w:rPr>
        <w:t>（三）根据上述规定</w:t>
      </w:r>
      <w:r>
        <w:rPr>
          <w:rFonts w:ascii="仿宋_GB2312" w:eastAsia="仿宋_GB2312"/>
          <w:b w:val="0"/>
          <w:sz w:val="32"/>
          <w:szCs w:val="32"/>
        </w:rPr>
        <w:t>，申请人申请资助时必须作出合规承诺（在申报系统中操作），否则不予受理。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6"/>
        <w:numPr>
          <w:ilvl w:val="0"/>
          <w:numId w:val="1"/>
        </w:numPr>
        <w:snapToGrid w:val="0"/>
        <w:spacing w:line="560" w:lineRule="exact"/>
        <w:ind w:left="1361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年审或年检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无年审、年检。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83D1A"/>
    <w:multiLevelType w:val="singleLevel"/>
    <w:tmpl w:val="E1683D1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3E81AF4"/>
    <w:multiLevelType w:val="multilevel"/>
    <w:tmpl w:val="03E81AF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F64F8"/>
    <w:multiLevelType w:val="multilevel"/>
    <w:tmpl w:val="269F64F8"/>
    <w:lvl w:ilvl="0" w:tentative="0">
      <w:start w:val="1"/>
      <w:numFmt w:val="japaneseCounting"/>
      <w:lvlText w:val="（%1）"/>
      <w:lvlJc w:val="left"/>
      <w:pPr>
        <w:ind w:left="1723" w:hanging="1080"/>
      </w:pPr>
      <w:rPr>
        <w:rFonts w:hint="eastAsia" w:ascii="楷体_GB2312" w:eastAsia="楷体_GB2312"/>
        <w:b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 w:ascii="楷体_GB2312" w:eastAsia="楷体_GB2312"/>
        <w:b/>
      </w:rPr>
    </w:lvl>
    <w:lvl w:ilvl="4" w:tentative="0">
      <w:start w:val="1"/>
      <w:numFmt w:val="decimal"/>
      <w:lvlText w:val="（%5）"/>
      <w:lvlJc w:val="left"/>
      <w:pPr>
        <w:ind w:left="3403" w:hanging="1080"/>
      </w:pPr>
      <w:rPr>
        <w:rFonts w:hint="default"/>
        <w:lang w:val="en-US"/>
      </w:r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60350B62"/>
    <w:multiLevelType w:val="multilevel"/>
    <w:tmpl w:val="60350B62"/>
    <w:lvl w:ilvl="0" w:tentative="0">
      <w:start w:val="1"/>
      <w:numFmt w:val="japaneseCounting"/>
      <w:lvlText w:val="（%1）"/>
      <w:lvlJc w:val="left"/>
      <w:pPr>
        <w:ind w:left="1835" w:hanging="1275"/>
      </w:p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MjIwYjk4YTQxYzRkNjZiY2M4ODBmZDEzZTNiNmYifQ=="/>
  </w:docVars>
  <w:rsids>
    <w:rsidRoot w:val="5BE3CE81"/>
    <w:rsid w:val="19F040C1"/>
    <w:rsid w:val="5BE3CE81"/>
    <w:rsid w:val="76D269DB"/>
    <w:rsid w:val="78E0535F"/>
    <w:rsid w:val="9BFB2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0" w:after="0" w:afterAutospacing="0"/>
      <w:ind w:firstLine="880" w:firstLineChars="200"/>
      <w:jc w:val="both"/>
      <w:outlineLvl w:val="1"/>
    </w:pPr>
    <w:rPr>
      <w:rFonts w:hint="eastAsia" w:ascii="Times New Roman" w:hAnsi="Times New Roman" w:eastAsia="楷体" w:cs="Times New Roman"/>
      <w:b/>
      <w:kern w:val="0"/>
      <w:szCs w:val="36"/>
      <w:lang w:bidi="ar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7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2311</Words>
  <Characters>2516</Characters>
  <Lines>0</Lines>
  <Paragraphs>0</Paragraphs>
  <TotalTime>0</TotalTime>
  <ScaleCrop>false</ScaleCrop>
  <LinksUpToDate>false</LinksUpToDate>
  <CharactersWithSpaces>2518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2023-04-14T19:19:00Z</dcterms:created>
  <dc:creator>liuyt1</dc:creator>
  <cp:lastModifiedBy>WANGQW</cp:lastModifiedBy>
  <dcterms:modified xsi:type="dcterms:W3CDTF">2023-04-17T12:59:51Z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EBCAE811450F49F383A1CFBC10AD8810_12</vt:lpwstr>
  </property>
</Properties>
</file>