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年第一期知识产权质押融资入园惠企活动</w:t>
      </w:r>
      <w:r>
        <w:rPr>
          <w:rFonts w:hint="eastAsia" w:ascii="黑体" w:hAnsi="黑体" w:eastAsia="黑体" w:cs="黑体"/>
          <w:sz w:val="44"/>
          <w:szCs w:val="44"/>
        </w:rPr>
        <w:t>议程</w:t>
      </w:r>
    </w:p>
    <w:bookmarkEnd w:id="0"/>
    <w:p>
      <w:pPr>
        <w:pStyle w:val="2"/>
        <w:ind w:firstLine="420"/>
        <w:rPr>
          <w:rFonts w:hAnsi="Times New Roman" w:eastAsia="宋体" w:cs="Times New Roman"/>
        </w:rPr>
      </w:pPr>
    </w:p>
    <w:tbl>
      <w:tblPr>
        <w:tblStyle w:val="4"/>
        <w:tblW w:w="8297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3461"/>
        <w:gridCol w:w="32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Cs/>
                <w:color w:val="424242"/>
                <w:sz w:val="32"/>
                <w:szCs w:val="32"/>
              </w:rPr>
              <w:t>活动议程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培训时间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202</w:t>
            </w:r>
            <w:r>
              <w:rPr>
                <w:rStyle w:val="6"/>
                <w:rFonts w:ascii="仿宋" w:hAnsi="仿宋" w:eastAsia="仿宋" w:cs="仿宋"/>
                <w:bCs/>
                <w:color w:val="424242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年</w:t>
            </w:r>
            <w:r>
              <w:rPr>
                <w:rStyle w:val="6"/>
                <w:rFonts w:ascii="仿宋" w:hAnsi="仿宋" w:eastAsia="仿宋" w:cs="仿宋"/>
                <w:bCs/>
                <w:color w:val="424242"/>
              </w:rPr>
              <w:t>4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月</w:t>
            </w:r>
            <w:r>
              <w:rPr>
                <w:rStyle w:val="6"/>
                <w:rFonts w:ascii="仿宋" w:hAnsi="仿宋" w:eastAsia="仿宋" w:cs="仿宋"/>
                <w:bCs/>
                <w:color w:val="424242"/>
              </w:rPr>
              <w:t>25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日（周二）14:00-17:</w:t>
            </w:r>
            <w:r>
              <w:rPr>
                <w:rStyle w:val="6"/>
                <w:rFonts w:ascii="仿宋" w:hAnsi="仿宋" w:eastAsia="仿宋" w:cs="仿宋"/>
                <w:bCs/>
                <w:color w:val="424242"/>
              </w:rPr>
              <w:t>0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培训地址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深圳市南山区沙河西路1819号深圳湾科技生态园7栋B座3楼南山知识产权保护中心C4多功能厅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时间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宋体" w:cs="Times New Roman"/>
                <w:bCs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议程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主讲单位/主讲人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仿宋"/>
                <w:color w:val="424242"/>
              </w:rPr>
            </w:pPr>
            <w:r>
              <w:rPr>
                <w:rFonts w:hint="eastAsia" w:ascii="仿宋" w:hAnsi="仿宋" w:eastAsia="仿宋" w:cs="仿宋"/>
                <w:color w:val="424242"/>
              </w:rPr>
              <w:t>14:00-14:</w:t>
            </w:r>
            <w:r>
              <w:rPr>
                <w:rFonts w:ascii="仿宋" w:hAnsi="仿宋" w:eastAsia="仿宋" w:cs="仿宋"/>
                <w:color w:val="424242"/>
              </w:rPr>
              <w:t>3</w:t>
            </w:r>
            <w:r>
              <w:rPr>
                <w:rFonts w:hint="eastAsia" w:ascii="仿宋" w:hAnsi="仿宋" w:eastAsia="仿宋" w:cs="仿宋"/>
                <w:color w:val="424242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签到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0-14: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  <w:lang w:eastAsia="zh-CN"/>
              </w:rPr>
              <w:t>主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持人开场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5-14: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领导致辞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深圳市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  <w:lang w:eastAsia="zh-CN"/>
              </w:rPr>
              <w:t>知识产权局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0-14:5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南山区知识产权政策宣讲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深圳市南山区科技创新局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14:5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-15: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深高新投探索创新金融 知识产权赋能科技企业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深圳市高新投集团有限公司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15: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0-15: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25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知识产权质押融资等产品知识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北京银行深圳分行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15: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25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招商银行科技金融陪伴成长计划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招商银行深圳分行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0-1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:5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知识产权质押融资兴业银行定制金融服务方案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兴业银行深圳分行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10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茶歇（现场交流环节）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16: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0-16: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知识产权质押融资模式及评估案例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ascii="仿宋" w:hAnsi="仿宋" w:eastAsia="仿宋" w:cs="仿宋"/>
                <w:bCs/>
                <w:color w:val="424242"/>
              </w:rPr>
              <w:t>紫藤知识产权运营（深圳）有限公司</w:t>
            </w:r>
          </w:p>
        </w:tc>
      </w:tr>
    </w:tbl>
    <w:p>
      <w:pPr>
        <w:pStyle w:val="2"/>
        <w:ind w:firstLine="0" w:firstLineChars="0"/>
        <w:rPr>
          <w:rFonts w:hAnsi="Times New Roman" w:eastAsia="宋体" w:cs="Times New Roman"/>
        </w:rPr>
      </w:pPr>
    </w:p>
    <w:p>
      <w:pPr>
        <w:pStyle w:val="2"/>
        <w:ind w:firstLine="0" w:firstLineChars="0"/>
        <w:rPr>
          <w:rFonts w:hAnsi="Times New Roman" w:eastAsia="宋体" w:cs="Times New Roman"/>
        </w:rPr>
      </w:pPr>
    </w:p>
    <w:p>
      <w:pPr>
        <w:pStyle w:val="2"/>
        <w:ind w:firstLine="0" w:firstLineChars="0"/>
        <w:rPr>
          <w:rFonts w:hAnsi="Times New Roman" w:eastAsia="宋体" w:cs="Times New Roman"/>
        </w:rPr>
      </w:pPr>
    </w:p>
    <w:p>
      <w:pPr>
        <w:pStyle w:val="2"/>
        <w:ind w:firstLine="0" w:firstLineChars="0"/>
        <w:rPr>
          <w:rFonts w:hAnsi="Times New Roman" w:eastAsia="宋体" w:cs="Times New Roman"/>
        </w:rPr>
      </w:pP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报名二维码</w:t>
      </w:r>
    </w:p>
    <w:p>
      <w:pPr>
        <w:pStyle w:val="2"/>
        <w:ind w:firstLine="0" w:firstLineChars="0"/>
        <w:jc w:val="center"/>
        <w:rPr>
          <w:rFonts w:hAnsi="Times New Roman" w:eastAsia="宋体" w:cs="Times New Roman"/>
        </w:rPr>
      </w:pPr>
      <w:r>
        <w:rPr>
          <w:rFonts w:hAnsi="Times New Roman" w:eastAsia="宋体" w:cs="Times New Roman"/>
        </w:rPr>
        <w:drawing>
          <wp:inline distT="0" distB="0" distL="114300" distR="114300">
            <wp:extent cx="1987550" cy="1993900"/>
            <wp:effectExtent l="0" t="0" r="12700" b="635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center"/>
        <w:rPr>
          <w:rFonts w:ascii="仿宋" w:hAnsi="仿宋" w:eastAsia="仿宋" w:cs="仿宋"/>
          <w:color w:val="424242"/>
          <w:sz w:val="27"/>
          <w:szCs w:val="27"/>
          <w:shd w:val="clear" w:color="auto" w:fill="FFFFFF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联系人：张先生，电话：0755-86527149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4E0A5A"/>
    <w:rsid w:val="F34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99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paragraph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2023-04-18T16:58:00Z</dcterms:created>
  <dc:creator>WANGQW</dc:creator>
  <cp:lastModifiedBy>WANGQW</cp:lastModifiedBy>
  <dcterms:modified xsi:type="dcterms:W3CDTF">2023-04-18T16:59:02Z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