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80" w:lineRule="exact"/>
        <w:ind w:firstLine="646"/>
        <w:jc w:val="center"/>
        <w:rPr>
          <w:rFonts w:ascii="华文中宋" w:hAnsi="华文中宋" w:eastAsia="华文中宋" w:cs="华文中宋"/>
          <w:b/>
          <w:bCs/>
          <w:color w:val="333333"/>
          <w:sz w:val="44"/>
          <w:szCs w:val="44"/>
        </w:rPr>
      </w:pPr>
      <w:r>
        <w:rPr>
          <w:rFonts w:hint="eastAsia" w:ascii="华文中宋" w:hAnsi="华文中宋" w:eastAsia="华文中宋" w:cs="华文中宋"/>
          <w:b/>
          <w:bCs/>
          <w:color w:val="333333"/>
          <w:sz w:val="44"/>
          <w:szCs w:val="44"/>
        </w:rPr>
        <w:t>深圳市市场监督管理局</w:t>
      </w:r>
    </w:p>
    <w:p>
      <w:pPr>
        <w:pStyle w:val="4"/>
        <w:spacing w:before="0" w:beforeAutospacing="0" w:after="0" w:afterAutospacing="0" w:line="580" w:lineRule="exact"/>
        <w:ind w:firstLine="646"/>
        <w:jc w:val="center"/>
        <w:rPr>
          <w:rFonts w:ascii="华文中宋" w:hAnsi="华文中宋" w:eastAsia="华文中宋" w:cs="华文中宋"/>
          <w:b/>
          <w:bCs/>
          <w:color w:val="333333"/>
          <w:sz w:val="44"/>
          <w:szCs w:val="44"/>
        </w:rPr>
      </w:pPr>
      <w:r>
        <w:rPr>
          <w:rFonts w:hint="eastAsia" w:ascii="华文中宋" w:hAnsi="华文中宋" w:eastAsia="华文中宋" w:cs="华文中宋"/>
          <w:b/>
          <w:bCs/>
          <w:color w:val="333333"/>
          <w:sz w:val="44"/>
          <w:szCs w:val="44"/>
        </w:rPr>
        <w:t>企业信用风险分类管理规定</w:t>
      </w:r>
    </w:p>
    <w:p>
      <w:pPr>
        <w:pStyle w:val="4"/>
        <w:spacing w:before="0" w:beforeAutospacing="0" w:after="0" w:afterAutospacing="0" w:line="580" w:lineRule="exact"/>
        <w:ind w:firstLine="646"/>
        <w:jc w:val="center"/>
        <w:rPr>
          <w:rFonts w:ascii="楷体_GB2312" w:hAnsi="楷体_GB2312" w:eastAsia="楷体_GB2312" w:cs="楷体_GB2312"/>
          <w:b/>
          <w:bCs/>
          <w:color w:val="333333"/>
          <w:sz w:val="32"/>
          <w:szCs w:val="32"/>
        </w:rPr>
      </w:pPr>
      <w:r>
        <w:rPr>
          <w:rFonts w:hint="eastAsia" w:ascii="楷体_GB2312" w:hAnsi="楷体_GB2312" w:eastAsia="楷体_GB2312" w:cs="楷体_GB2312"/>
          <w:b/>
          <w:bCs/>
          <w:color w:val="333333"/>
          <w:sz w:val="32"/>
          <w:szCs w:val="32"/>
        </w:rPr>
        <w:t>（试行）</w:t>
      </w:r>
    </w:p>
    <w:p>
      <w:pPr>
        <w:pStyle w:val="4"/>
        <w:spacing w:beforeAutospacing="0" w:afterAutospacing="0" w:line="580" w:lineRule="exact"/>
        <w:jc w:val="center"/>
        <w:rPr>
          <w:rFonts w:ascii="微软雅黑" w:hAnsi="微软雅黑" w:eastAsia="微软雅黑"/>
          <w:color w:val="333333"/>
          <w:sz w:val="21"/>
          <w:szCs w:val="21"/>
        </w:rPr>
      </w:pPr>
      <w:r>
        <w:rPr>
          <w:rFonts w:hint="eastAsia" w:ascii="黑体" w:hAnsi="黑体" w:eastAsia="黑体"/>
          <w:color w:val="333333"/>
          <w:sz w:val="32"/>
          <w:szCs w:val="32"/>
        </w:rPr>
        <w:t>第一章</w:t>
      </w:r>
      <w:r>
        <w:rPr>
          <w:rFonts w:hint="eastAsia"/>
          <w:color w:val="333333"/>
          <w:sz w:val="32"/>
          <w:szCs w:val="32"/>
        </w:rPr>
        <w:t> </w:t>
      </w:r>
      <w:r>
        <w:rPr>
          <w:rFonts w:hint="eastAsia" w:ascii="黑体" w:hAnsi="黑体" w:eastAsia="黑体" w:cs="黑体"/>
          <w:color w:val="333333"/>
          <w:sz w:val="32"/>
          <w:szCs w:val="32"/>
        </w:rPr>
        <w:t xml:space="preserve"> </w:t>
      </w:r>
      <w:r>
        <w:rPr>
          <w:rFonts w:hint="eastAsia" w:ascii="黑体" w:hAnsi="黑体" w:eastAsia="黑体"/>
          <w:color w:val="333333"/>
          <w:sz w:val="32"/>
          <w:szCs w:val="32"/>
        </w:rPr>
        <w:t>总</w:t>
      </w:r>
      <w:r>
        <w:rPr>
          <w:rFonts w:hint="eastAsia"/>
          <w:color w:val="333333"/>
          <w:sz w:val="32"/>
          <w:szCs w:val="32"/>
        </w:rPr>
        <w:t> </w:t>
      </w:r>
      <w:r>
        <w:rPr>
          <w:rFonts w:hint="eastAsia" w:ascii="黑体" w:hAnsi="黑体" w:eastAsia="黑体" w:cs="黑体"/>
          <w:color w:val="333333"/>
          <w:sz w:val="32"/>
          <w:szCs w:val="32"/>
        </w:rPr>
        <w:t xml:space="preserve"> </w:t>
      </w:r>
      <w:r>
        <w:rPr>
          <w:rFonts w:hint="eastAsia" w:ascii="黑体" w:hAnsi="黑体" w:eastAsia="黑体"/>
          <w:color w:val="333333"/>
          <w:sz w:val="32"/>
          <w:szCs w:val="32"/>
        </w:rPr>
        <w:t>则</w:t>
      </w:r>
    </w:p>
    <w:p>
      <w:pPr>
        <w:pStyle w:val="4"/>
        <w:spacing w:beforeAutospacing="0" w:afterAutospacing="0" w:line="580" w:lineRule="exact"/>
        <w:ind w:firstLine="960" w:firstLineChars="300"/>
        <w:rPr>
          <w:rFonts w:ascii="仿宋_GB2312" w:eastAsia="仿宋_GB2312" w:hAnsiTheme="minorHAnsi" w:cstheme="minorBidi"/>
          <w:kern w:val="2"/>
          <w:sz w:val="32"/>
          <w:szCs w:val="32"/>
        </w:rPr>
      </w:pPr>
      <w:r>
        <w:rPr>
          <w:rFonts w:hint="eastAsia" w:ascii="黑体" w:hAnsi="黑体" w:eastAsia="黑体"/>
          <w:color w:val="333333"/>
          <w:sz w:val="32"/>
          <w:szCs w:val="32"/>
        </w:rPr>
        <w:t>第一条</w:t>
      </w:r>
      <w:r>
        <w:rPr>
          <w:rFonts w:hint="eastAsia" w:ascii="黑体" w:hAnsi="黑体" w:eastAsia="黑体" w:cs="黑体"/>
          <w:bCs/>
          <w:color w:val="000000" w:themeColor="text1"/>
          <w:sz w:val="32"/>
          <w:szCs w:val="32"/>
        </w:rPr>
        <w:t xml:space="preserve">【目的依据】 </w:t>
      </w:r>
      <w:r>
        <w:rPr>
          <w:rFonts w:hint="eastAsia" w:ascii="仿宋_GB2312" w:eastAsia="仿宋_GB2312" w:hAnsiTheme="minorHAnsi" w:cstheme="minorBidi"/>
          <w:kern w:val="2"/>
          <w:sz w:val="32"/>
          <w:szCs w:val="32"/>
        </w:rPr>
        <w:t>为推动信用监管改革，健全以</w:t>
      </w:r>
      <w:r>
        <w:rPr>
          <w:rFonts w:hint="eastAsia" w:ascii="仿宋_GB2312" w:eastAsia="仿宋_GB2312" w:hAnsiTheme="minorHAnsi" w:cstheme="minorBidi"/>
          <w:kern w:val="2"/>
          <w:sz w:val="32"/>
          <w:szCs w:val="32"/>
          <w:lang w:val="en"/>
        </w:rPr>
        <w:t>“</w:t>
      </w:r>
      <w:r>
        <w:rPr>
          <w:rFonts w:hint="default" w:ascii="仿宋_GB2312" w:eastAsia="仿宋_GB2312" w:hAnsiTheme="minorHAnsi" w:cstheme="minorBidi"/>
          <w:kern w:val="2"/>
          <w:sz w:val="32"/>
          <w:szCs w:val="32"/>
          <w:lang w:val="en"/>
        </w:rPr>
        <w:t>双随机、一公开”</w:t>
      </w:r>
      <w:r>
        <w:rPr>
          <w:rFonts w:hint="eastAsia" w:ascii="仿宋_GB2312" w:eastAsia="仿宋_GB2312" w:hAnsiTheme="minorHAnsi" w:cstheme="minorBidi"/>
          <w:kern w:val="2"/>
          <w:sz w:val="32"/>
          <w:szCs w:val="32"/>
          <w:lang w:val="en"/>
        </w:rPr>
        <w:t>为基本手段、以重点监管为补充、以信用监管为基础的新型</w:t>
      </w:r>
      <w:r>
        <w:rPr>
          <w:rFonts w:hint="eastAsia" w:ascii="仿宋_GB2312" w:eastAsia="仿宋_GB2312" w:hAnsiTheme="minorHAnsi" w:cstheme="minorBidi"/>
          <w:kern w:val="2"/>
          <w:sz w:val="32"/>
          <w:szCs w:val="32"/>
        </w:rPr>
        <w:t>监管机制，提升市场监管效能，优化营商环境，促进经济高质量发展，根据《国务院关于加强和规范事中事后监管的指导意见》(国发〔2019〕18号)等有关文件要求，依据相关法律法规，制定本规定。</w:t>
      </w:r>
    </w:p>
    <w:p>
      <w:pPr>
        <w:snapToGrid w:val="0"/>
        <w:spacing w:line="580" w:lineRule="exact"/>
        <w:ind w:firstLine="800" w:firstLineChars="250"/>
        <w:rPr>
          <w:rFonts w:ascii="仿宋_GB2312" w:eastAsia="仿宋_GB2312"/>
          <w:sz w:val="32"/>
          <w:szCs w:val="32"/>
        </w:rPr>
      </w:pPr>
      <w:r>
        <w:rPr>
          <w:rFonts w:hint="eastAsia" w:ascii="黑体" w:hAnsi="黑体" w:eastAsia="黑体"/>
          <w:color w:val="333333"/>
          <w:sz w:val="32"/>
          <w:szCs w:val="32"/>
        </w:rPr>
        <w:t>第二条</w:t>
      </w:r>
      <w:r>
        <w:rPr>
          <w:rFonts w:hint="eastAsia" w:ascii="黑体" w:hAnsi="黑体" w:eastAsia="黑体" w:cs="黑体"/>
          <w:bCs/>
          <w:color w:val="000000" w:themeColor="text1"/>
          <w:sz w:val="32"/>
          <w:szCs w:val="32"/>
        </w:rPr>
        <w:t>【适用范围】</w:t>
      </w:r>
      <w:r>
        <w:rPr>
          <w:rFonts w:hint="eastAsia" w:ascii="仿宋" w:hAnsi="仿宋" w:eastAsia="仿宋" w:cs="仿宋"/>
          <w:color w:val="333333"/>
          <w:sz w:val="32"/>
          <w:szCs w:val="32"/>
        </w:rPr>
        <w:t xml:space="preserve"> </w:t>
      </w:r>
      <w:r>
        <w:rPr>
          <w:rFonts w:hint="eastAsia" w:ascii="仿宋_GB2312" w:eastAsia="仿宋_GB2312"/>
          <w:sz w:val="32"/>
          <w:szCs w:val="32"/>
        </w:rPr>
        <w:t>本规定适用于深圳市</w:t>
      </w:r>
      <w:r>
        <w:rPr>
          <w:rFonts w:ascii="仿宋_GB2312" w:eastAsia="仿宋_GB2312"/>
          <w:sz w:val="32"/>
          <w:szCs w:val="32"/>
        </w:rPr>
        <w:t>市场监管局内设处室</w:t>
      </w:r>
      <w:r>
        <w:rPr>
          <w:rFonts w:hint="eastAsia" w:ascii="仿宋_GB2312" w:eastAsia="仿宋_GB2312"/>
          <w:sz w:val="32"/>
          <w:szCs w:val="32"/>
        </w:rPr>
        <w:t>以及辖区市场监管局、监管所（以下统称“市场监管部门”）实施企业信用风险分类管理工作。法律、法规和规章另有规定的，从其规定。</w:t>
      </w:r>
    </w:p>
    <w:p>
      <w:pPr>
        <w:pStyle w:val="4"/>
        <w:spacing w:beforeAutospacing="0" w:afterAutospacing="0" w:line="580" w:lineRule="exact"/>
        <w:ind w:firstLine="640" w:firstLineChars="200"/>
        <w:rPr>
          <w:rFonts w:ascii="仿宋_GB2312" w:eastAsia="仿宋_GB2312" w:hAnsiTheme="minorHAnsi" w:cstheme="minorBidi"/>
          <w:kern w:val="2"/>
          <w:sz w:val="32"/>
          <w:szCs w:val="32"/>
        </w:rPr>
      </w:pPr>
      <w:r>
        <w:rPr>
          <w:rFonts w:hint="eastAsia" w:ascii="黑体" w:hAnsi="黑体" w:eastAsia="黑体"/>
          <w:color w:val="333333"/>
          <w:sz w:val="32"/>
          <w:szCs w:val="32"/>
        </w:rPr>
        <w:t>第三条</w:t>
      </w:r>
      <w:r>
        <w:rPr>
          <w:rFonts w:hint="eastAsia" w:ascii="黑体" w:hAnsi="黑体" w:eastAsia="黑体" w:cs="黑体"/>
          <w:bCs/>
          <w:color w:val="000000" w:themeColor="text1"/>
          <w:sz w:val="32"/>
          <w:szCs w:val="32"/>
        </w:rPr>
        <w:t xml:space="preserve">【基本概念】 </w:t>
      </w:r>
      <w:r>
        <w:rPr>
          <w:rFonts w:hint="eastAsia" w:ascii="仿宋_GB2312" w:eastAsia="仿宋_GB2312" w:hAnsiTheme="minorHAnsi" w:cstheme="minorBidi"/>
          <w:kern w:val="2"/>
          <w:sz w:val="32"/>
          <w:szCs w:val="32"/>
        </w:rPr>
        <w:t>本规定所称企业信用风险分类管理，是指市场监管部门在依法归集信用信息数据的基础上，以依法登记的企业为对象，构建信用风险分类指标体系和数据模型，对企业信用风险进行分类，对主要风险点实现精准识别和监测预警，并根据分类结果实施差异化监管的活动。</w:t>
      </w:r>
    </w:p>
    <w:p>
      <w:pPr>
        <w:pStyle w:val="4"/>
        <w:spacing w:beforeAutospacing="0" w:afterAutospacing="0" w:line="580" w:lineRule="exact"/>
        <w:ind w:firstLine="645"/>
        <w:rPr>
          <w:rFonts w:ascii="仿宋_GB2312" w:eastAsia="仿宋_GB2312" w:hAnsiTheme="minorHAnsi" w:cstheme="minorBidi"/>
          <w:kern w:val="2"/>
          <w:sz w:val="32"/>
          <w:szCs w:val="32"/>
        </w:rPr>
      </w:pPr>
      <w:r>
        <w:rPr>
          <w:rFonts w:hint="eastAsia" w:ascii="黑体" w:hAnsi="黑体" w:eastAsia="黑体"/>
          <w:color w:val="333333"/>
          <w:sz w:val="32"/>
          <w:szCs w:val="32"/>
        </w:rPr>
        <w:t>第四条</w:t>
      </w:r>
      <w:r>
        <w:rPr>
          <w:rFonts w:hint="eastAsia" w:ascii="黑体" w:hAnsi="黑体" w:eastAsia="黑体" w:cs="黑体"/>
          <w:bCs/>
          <w:color w:val="000000" w:themeColor="text1"/>
          <w:sz w:val="32"/>
          <w:szCs w:val="32"/>
        </w:rPr>
        <w:t>【工作原则】</w:t>
      </w:r>
      <w:r>
        <w:rPr>
          <w:rFonts w:hint="eastAsia" w:ascii="仿宋_GB2312" w:eastAsia="仿宋_GB2312" w:hAnsiTheme="minorHAnsi" w:cstheme="minorBidi"/>
          <w:kern w:val="2"/>
          <w:sz w:val="32"/>
          <w:szCs w:val="32"/>
        </w:rPr>
        <w:t>企业信用风险分类管理坚持科学分类与监管需求相结合、大数据分析与科学校验相结合、普遍规律与风险特征相结合的原则。</w:t>
      </w:r>
    </w:p>
    <w:p>
      <w:pPr>
        <w:pStyle w:val="4"/>
        <w:spacing w:beforeAutospacing="0" w:afterAutospacing="0" w:line="580" w:lineRule="exact"/>
        <w:ind w:firstLine="645"/>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企业信用风险分类的结果仅作为市场监管部门配置监管资源，实施差异化监管的依据，不向社会公开，不作为政府部门对企业信用的背书。</w:t>
      </w:r>
    </w:p>
    <w:p>
      <w:pPr>
        <w:pStyle w:val="4"/>
        <w:spacing w:beforeAutospacing="0" w:afterAutospacing="0" w:line="580" w:lineRule="exact"/>
        <w:ind w:firstLine="645"/>
        <w:rPr>
          <w:rFonts w:ascii="仿宋_GB2312" w:eastAsia="仿宋_GB2312" w:hAnsiTheme="minorHAnsi" w:cstheme="minorBidi"/>
          <w:kern w:val="2"/>
          <w:sz w:val="32"/>
          <w:szCs w:val="32"/>
        </w:rPr>
      </w:pPr>
      <w:r>
        <w:rPr>
          <w:rFonts w:hint="eastAsia" w:ascii="黑体" w:hAnsi="黑体" w:eastAsia="黑体" w:cs="黑体"/>
          <w:bCs/>
          <w:color w:val="000000" w:themeColor="text1"/>
          <w:sz w:val="32"/>
          <w:szCs w:val="32"/>
        </w:rPr>
        <w:t xml:space="preserve">第五条【信息化平台】 </w:t>
      </w:r>
      <w:r>
        <w:rPr>
          <w:rFonts w:hint="eastAsia" w:ascii="仿宋_GB2312" w:eastAsia="仿宋_GB2312" w:hAnsiTheme="minorHAnsi" w:cstheme="minorBidi"/>
          <w:kern w:val="2"/>
          <w:sz w:val="32"/>
          <w:szCs w:val="32"/>
        </w:rPr>
        <w:t>市市场监管部门依托深圳市商事信用与事中事后智慧监管系统（双随机和联合奖惩系统），建立企业信用风险分类模块，实现对企业信用风险自动识别、自动分类，动态调整更新以及分类结果共享应用等功能。</w:t>
      </w:r>
    </w:p>
    <w:p>
      <w:pPr>
        <w:pStyle w:val="4"/>
        <w:spacing w:beforeAutospacing="0" w:afterAutospacing="0" w:line="580" w:lineRule="exact"/>
        <w:ind w:firstLine="640" w:firstLineChars="200"/>
        <w:rPr>
          <w:rFonts w:ascii="仿宋_GB2312" w:eastAsia="仿宋_GB2312"/>
          <w:sz w:val="32"/>
          <w:szCs w:val="32"/>
        </w:rPr>
      </w:pPr>
      <w:r>
        <w:rPr>
          <w:rFonts w:hint="eastAsia" w:ascii="黑体" w:hAnsi="黑体" w:eastAsia="黑体"/>
          <w:color w:val="333333"/>
          <w:sz w:val="32"/>
          <w:szCs w:val="32"/>
        </w:rPr>
        <w:t>第六条</w:t>
      </w:r>
      <w:r>
        <w:rPr>
          <w:rFonts w:hint="eastAsia" w:ascii="黑体" w:eastAsia="黑体"/>
          <w:sz w:val="32"/>
          <w:szCs w:val="32"/>
        </w:rPr>
        <w:t>【职责分工】</w:t>
      </w:r>
      <w:r>
        <w:rPr>
          <w:rFonts w:hint="eastAsia" w:ascii="仿宋_GB2312" w:eastAsia="仿宋_GB2312"/>
          <w:sz w:val="32"/>
          <w:szCs w:val="32"/>
        </w:rPr>
        <w:t>市场监管部门各单位应当按照职责分工，做好企业信用风险分类管理工作：</w:t>
      </w:r>
    </w:p>
    <w:p>
      <w:pPr>
        <w:pStyle w:val="4"/>
        <w:numPr>
          <w:ilvl w:val="0"/>
          <w:numId w:val="1"/>
        </w:numPr>
        <w:spacing w:beforeAutospacing="0" w:afterAutospacing="0" w:line="580" w:lineRule="exact"/>
        <w:ind w:firstLine="640"/>
        <w:rPr>
          <w:rFonts w:ascii="仿宋_GB2312" w:eastAsia="仿宋_GB2312"/>
          <w:sz w:val="32"/>
          <w:szCs w:val="32"/>
        </w:rPr>
      </w:pPr>
      <w:r>
        <w:rPr>
          <w:rFonts w:hint="eastAsia" w:ascii="仿宋_GB2312" w:eastAsia="仿宋_GB2312"/>
          <w:sz w:val="32"/>
          <w:szCs w:val="32"/>
        </w:rPr>
        <w:t>信用监管处负责</w:t>
      </w:r>
      <w:r>
        <w:rPr>
          <w:rFonts w:hint="eastAsia" w:ascii="仿宋_GB2312" w:eastAsia="仿宋_GB2312" w:hAnsiTheme="minorHAnsi" w:cstheme="minorBidi"/>
          <w:kern w:val="2"/>
          <w:sz w:val="32"/>
          <w:szCs w:val="32"/>
        </w:rPr>
        <w:t xml:space="preserve">企业信用风险分类管理工作的组织、指导和监督，制订完善企业信用风险分类的规则、标准，提出差异化监管方案。负责组织开发企业信用风险分类模块。 </w:t>
      </w:r>
    </w:p>
    <w:p>
      <w:pPr>
        <w:pStyle w:val="4"/>
        <w:numPr>
          <w:ilvl w:val="0"/>
          <w:numId w:val="1"/>
        </w:numPr>
        <w:spacing w:beforeAutospacing="0" w:afterAutospacing="0" w:line="580" w:lineRule="exact"/>
        <w:ind w:firstLine="640"/>
        <w:rPr>
          <w:rFonts w:ascii="仿宋_GB2312" w:eastAsia="仿宋_GB2312"/>
          <w:sz w:val="32"/>
          <w:szCs w:val="32"/>
        </w:rPr>
      </w:pPr>
      <w:r>
        <w:rPr>
          <w:rFonts w:hint="eastAsia" w:ascii="仿宋_GB2312" w:eastAsia="仿宋_GB2312" w:hAnsiTheme="minorHAnsi" w:cstheme="minorBidi"/>
          <w:kern w:val="2"/>
          <w:sz w:val="32"/>
          <w:szCs w:val="32"/>
        </w:rPr>
        <w:t>指挥协调处负责在组织</w:t>
      </w:r>
      <w:r>
        <w:rPr>
          <w:rFonts w:hint="default" w:ascii="仿宋_GB2312" w:eastAsia="仿宋_GB2312" w:hAnsiTheme="minorHAnsi" w:cstheme="minorBidi"/>
          <w:kern w:val="2"/>
          <w:sz w:val="32"/>
          <w:szCs w:val="32"/>
          <w:lang w:val="en"/>
        </w:rPr>
        <w:t>“</w:t>
      </w:r>
      <w:bookmarkStart w:id="0" w:name="_GoBack"/>
      <w:bookmarkEnd w:id="0"/>
      <w:r>
        <w:rPr>
          <w:rFonts w:hint="default" w:ascii="仿宋_GB2312" w:eastAsia="仿宋_GB2312" w:hAnsiTheme="minorHAnsi" w:cstheme="minorBidi"/>
          <w:kern w:val="2"/>
          <w:sz w:val="32"/>
          <w:szCs w:val="32"/>
          <w:lang w:val="en"/>
        </w:rPr>
        <w:t>双随机、一公开”</w:t>
      </w:r>
      <w:r>
        <w:rPr>
          <w:rFonts w:hint="eastAsia" w:ascii="仿宋_GB2312" w:eastAsia="仿宋_GB2312" w:hAnsiTheme="minorHAnsi" w:cstheme="minorBidi"/>
          <w:kern w:val="2"/>
          <w:sz w:val="32"/>
          <w:szCs w:val="32"/>
        </w:rPr>
        <w:t>工作中应用企业信用风险分类结果并反馈实施情况，负责指导</w:t>
      </w:r>
      <w:r>
        <w:rPr>
          <w:rFonts w:hint="default" w:ascii="仿宋_GB2312" w:eastAsia="仿宋_GB2312" w:hAnsiTheme="minorHAnsi" w:cstheme="minorBidi"/>
          <w:kern w:val="2"/>
          <w:sz w:val="32"/>
          <w:szCs w:val="32"/>
          <w:lang w:val="en"/>
        </w:rPr>
        <w:t>“双随机、一公开”</w:t>
      </w:r>
      <w:r>
        <w:rPr>
          <w:rFonts w:hint="eastAsia" w:ascii="仿宋_GB2312" w:eastAsia="仿宋_GB2312" w:hAnsiTheme="minorHAnsi" w:cstheme="minorBidi"/>
          <w:kern w:val="2"/>
          <w:sz w:val="32"/>
          <w:szCs w:val="32"/>
        </w:rPr>
        <w:t>系统与企业信用风险分类模块对接。</w:t>
      </w:r>
    </w:p>
    <w:p>
      <w:pPr>
        <w:pStyle w:val="4"/>
        <w:numPr>
          <w:ilvl w:val="0"/>
          <w:numId w:val="1"/>
        </w:numPr>
        <w:spacing w:beforeAutospacing="0" w:afterAutospacing="0" w:line="580" w:lineRule="exact"/>
        <w:ind w:firstLine="640"/>
        <w:rPr>
          <w:rFonts w:ascii="仿宋_GB2312" w:eastAsia="仿宋_GB2312"/>
          <w:sz w:val="32"/>
          <w:szCs w:val="32"/>
        </w:rPr>
      </w:pPr>
      <w:r>
        <w:rPr>
          <w:rFonts w:hint="eastAsia" w:ascii="仿宋_GB2312" w:eastAsia="仿宋_GB2312"/>
          <w:sz w:val="32"/>
          <w:szCs w:val="32"/>
        </w:rPr>
        <w:t>其他业务处室可根据本办法规定，在市场规范、网络监管、知识产权、广告、质量</w:t>
      </w:r>
      <w:r>
        <w:rPr>
          <w:rFonts w:ascii="仿宋_GB2312" w:eastAsia="仿宋_GB2312"/>
          <w:sz w:val="32"/>
          <w:szCs w:val="32"/>
        </w:rPr>
        <w:t>监督、计量</w:t>
      </w:r>
      <w:r>
        <w:rPr>
          <w:rFonts w:hint="eastAsia" w:ascii="仿宋_GB2312" w:eastAsia="仿宋_GB2312"/>
          <w:sz w:val="32"/>
          <w:szCs w:val="32"/>
        </w:rPr>
        <w:t>认证</w:t>
      </w:r>
      <w:r>
        <w:rPr>
          <w:rFonts w:ascii="仿宋_GB2312" w:eastAsia="仿宋_GB2312"/>
          <w:sz w:val="32"/>
          <w:szCs w:val="32"/>
        </w:rPr>
        <w:t>、特种设备、</w:t>
      </w:r>
      <w:r>
        <w:rPr>
          <w:rFonts w:hint="eastAsia" w:ascii="仿宋_GB2312" w:eastAsia="仿宋_GB2312"/>
          <w:sz w:val="32"/>
          <w:szCs w:val="32"/>
        </w:rPr>
        <w:t xml:space="preserve">食品药品、价格检查等监管工作中，结合本领域企业特点和业务需求，构建行业或专项风险分类管理模型，制定相关管理办法或措施，牵头组织开展行业或特定领域的企业分类监管工作。   </w:t>
      </w:r>
    </w:p>
    <w:p>
      <w:pPr>
        <w:pStyle w:val="4"/>
        <w:numPr>
          <w:ilvl w:val="0"/>
          <w:numId w:val="1"/>
        </w:numPr>
        <w:spacing w:beforeAutospacing="0" w:afterAutospacing="0" w:line="580" w:lineRule="exact"/>
        <w:ind w:firstLine="640"/>
        <w:rPr>
          <w:rFonts w:ascii="仿宋_GB2312" w:eastAsia="仿宋_GB2312"/>
          <w:sz w:val="32"/>
          <w:szCs w:val="32"/>
        </w:rPr>
      </w:pPr>
      <w:r>
        <w:rPr>
          <w:rFonts w:hint="eastAsia" w:ascii="仿宋_GB2312" w:eastAsia="仿宋_GB2312"/>
          <w:sz w:val="32"/>
          <w:szCs w:val="32"/>
        </w:rPr>
        <w:t>信息中心负责</w:t>
      </w:r>
      <w:r>
        <w:rPr>
          <w:rFonts w:hint="eastAsia" w:ascii="仿宋_GB2312" w:eastAsia="仿宋_GB2312" w:hAnsiTheme="minorHAnsi" w:cstheme="minorBidi"/>
          <w:kern w:val="2"/>
          <w:sz w:val="32"/>
          <w:szCs w:val="32"/>
        </w:rPr>
        <w:t>企业信用风险分类模块</w:t>
      </w:r>
      <w:r>
        <w:rPr>
          <w:rFonts w:hint="eastAsia" w:ascii="仿宋_GB2312" w:eastAsia="仿宋_GB2312"/>
          <w:sz w:val="32"/>
          <w:szCs w:val="32"/>
        </w:rPr>
        <w:t>的稳定运行，负责相关数据库的管理和维护，保障网络和数据安全。</w:t>
      </w:r>
    </w:p>
    <w:p>
      <w:pPr>
        <w:pStyle w:val="4"/>
        <w:spacing w:beforeAutospacing="0" w:afterAutospacing="0" w:line="580" w:lineRule="exact"/>
        <w:ind w:firstLine="640" w:firstLineChars="200"/>
        <w:rPr>
          <w:rFonts w:ascii="仿宋_GB2312" w:eastAsia="仿宋_GB2312"/>
          <w:sz w:val="32"/>
          <w:szCs w:val="32"/>
        </w:rPr>
      </w:pPr>
      <w:r>
        <w:rPr>
          <w:rFonts w:hint="eastAsia" w:ascii="黑体" w:eastAsia="黑体"/>
          <w:sz w:val="32"/>
          <w:szCs w:val="32"/>
        </w:rPr>
        <w:t>第七条【职责分工】</w:t>
      </w:r>
      <w:r>
        <w:rPr>
          <w:rFonts w:ascii="黑体" w:eastAsia="黑体"/>
          <w:sz w:val="32"/>
          <w:szCs w:val="32"/>
        </w:rPr>
        <w:t xml:space="preserve"> </w:t>
      </w:r>
      <w:r>
        <w:rPr>
          <w:rFonts w:hint="eastAsia" w:ascii="仿宋_GB2312" w:eastAsia="仿宋_GB2312"/>
          <w:sz w:val="32"/>
          <w:szCs w:val="32"/>
        </w:rPr>
        <w:t>辖区市场监管局和监管所结合辖区实际和上级市场监管部门的部署，依照</w:t>
      </w:r>
      <w:r>
        <w:rPr>
          <w:rFonts w:ascii="仿宋_GB2312" w:eastAsia="仿宋_GB2312"/>
          <w:sz w:val="32"/>
          <w:szCs w:val="32"/>
        </w:rPr>
        <w:t>本规定</w:t>
      </w:r>
      <w:r>
        <w:rPr>
          <w:rFonts w:hint="eastAsia" w:ascii="仿宋_GB2312" w:eastAsia="仿宋_GB2312"/>
          <w:sz w:val="32"/>
          <w:szCs w:val="32"/>
        </w:rPr>
        <w:t>负责实施各自辖区内的企业风险分类监管工作。</w:t>
      </w:r>
    </w:p>
    <w:p>
      <w:pPr>
        <w:pStyle w:val="4"/>
        <w:spacing w:beforeAutospacing="0" w:afterAutospacing="0" w:line="580" w:lineRule="exact"/>
        <w:ind w:firstLine="640" w:firstLineChars="200"/>
        <w:rPr>
          <w:rFonts w:ascii="黑体" w:hAnsi="黑体" w:eastAsia="黑体" w:cs="黑体"/>
          <w:bCs/>
          <w:color w:val="000000" w:themeColor="text1"/>
          <w:sz w:val="32"/>
          <w:szCs w:val="32"/>
        </w:rPr>
      </w:pPr>
      <w:r>
        <w:rPr>
          <w:rFonts w:hint="eastAsia" w:ascii="仿宋_GB2312" w:eastAsia="仿宋_GB2312"/>
          <w:sz w:val="32"/>
          <w:szCs w:val="32"/>
        </w:rPr>
        <w:t>上级市场监管部门应对下级市场监管部门的企业分类监管工作进行业务指导和督查。</w:t>
      </w:r>
    </w:p>
    <w:p>
      <w:pPr>
        <w:pStyle w:val="4"/>
        <w:spacing w:beforeAutospacing="0" w:afterAutospacing="0" w:line="580" w:lineRule="exact"/>
        <w:ind w:firstLine="640" w:firstLineChars="200"/>
        <w:rPr>
          <w:rFonts w:ascii="仿宋_GB2312" w:eastAsia="仿宋_GB2312"/>
          <w:sz w:val="32"/>
          <w:szCs w:val="32"/>
        </w:rPr>
      </w:pPr>
      <w:r>
        <w:rPr>
          <w:rFonts w:hint="eastAsia" w:ascii="黑体" w:eastAsia="黑体"/>
          <w:sz w:val="32"/>
          <w:szCs w:val="32"/>
        </w:rPr>
        <w:t xml:space="preserve">第八条【信息安全】 </w:t>
      </w:r>
      <w:r>
        <w:rPr>
          <w:rFonts w:hint="eastAsia" w:ascii="仿宋_GB2312" w:eastAsia="仿宋_GB2312"/>
          <w:sz w:val="32"/>
          <w:szCs w:val="32"/>
        </w:rPr>
        <w:t>各级市场监管部门、参与企业信用风险分类管理的第三方机构以及相关工作人员应加强对涉及国家利益、公共安全、商业秘密和个人隐私等信息的保护，防止失密泄密和侵犯个人隐私，确保数据安全和信息安全。</w:t>
      </w:r>
    </w:p>
    <w:p>
      <w:pPr>
        <w:pStyle w:val="4"/>
        <w:spacing w:beforeAutospacing="0" w:afterAutospacing="0" w:line="58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 xml:space="preserve">第二章  企业信用风险数据 </w:t>
      </w:r>
    </w:p>
    <w:p>
      <w:pPr>
        <w:pStyle w:val="4"/>
        <w:spacing w:beforeAutospacing="0" w:afterAutospacing="0" w:line="580" w:lineRule="exact"/>
        <w:ind w:firstLine="645"/>
        <w:rPr>
          <w:rFonts w:ascii="仿宋_GB2312" w:eastAsia="仿宋_GB2312"/>
          <w:sz w:val="32"/>
          <w:szCs w:val="32"/>
        </w:rPr>
      </w:pPr>
      <w:r>
        <w:rPr>
          <w:rFonts w:hint="eastAsia" w:ascii="黑体" w:hAnsi="黑体" w:eastAsia="黑体"/>
          <w:color w:val="333333"/>
          <w:sz w:val="32"/>
          <w:szCs w:val="32"/>
        </w:rPr>
        <w:t>第九条</w:t>
      </w:r>
      <w:r>
        <w:rPr>
          <w:rFonts w:hint="eastAsia" w:ascii="黑体" w:hAnsi="黑体" w:eastAsia="黑体" w:cs="黑体"/>
          <w:bCs/>
          <w:color w:val="000000" w:themeColor="text1"/>
          <w:sz w:val="32"/>
          <w:szCs w:val="32"/>
        </w:rPr>
        <w:t xml:space="preserve">【信用风险数据库】 </w:t>
      </w:r>
      <w:r>
        <w:rPr>
          <w:rFonts w:hint="eastAsia" w:ascii="仿宋_GB2312" w:eastAsia="仿宋_GB2312"/>
          <w:sz w:val="32"/>
          <w:szCs w:val="32"/>
        </w:rPr>
        <w:t>建立企业信用风险</w:t>
      </w:r>
      <w:r>
        <w:rPr>
          <w:rFonts w:ascii="仿宋_GB2312" w:eastAsia="仿宋_GB2312"/>
          <w:sz w:val="32"/>
          <w:szCs w:val="32"/>
        </w:rPr>
        <w:t>数据库</w:t>
      </w:r>
      <w:r>
        <w:rPr>
          <w:rFonts w:hint="eastAsia" w:ascii="仿宋_GB2312" w:eastAsia="仿宋_GB2312"/>
          <w:sz w:val="32"/>
          <w:szCs w:val="32"/>
        </w:rPr>
        <w:t>，按照统一的数据标准和数据规则，从智慧市场监管系统、市公共信用信息系统等业务系统中归集企业和董事、监事、高级管理人员等与企业相关的自然人信用信息。</w:t>
      </w:r>
    </w:p>
    <w:p>
      <w:pPr>
        <w:pStyle w:val="4"/>
        <w:spacing w:beforeAutospacing="0" w:afterAutospacing="0" w:line="580" w:lineRule="exact"/>
        <w:ind w:firstLine="645"/>
        <w:rPr>
          <w:rFonts w:ascii="仿宋_GB2312" w:eastAsia="仿宋_GB2312"/>
          <w:sz w:val="32"/>
          <w:szCs w:val="32"/>
        </w:rPr>
      </w:pPr>
      <w:r>
        <w:rPr>
          <w:rFonts w:hint="eastAsia" w:ascii="黑体" w:hAnsi="黑体" w:eastAsia="黑体"/>
          <w:color w:val="333333"/>
          <w:sz w:val="32"/>
          <w:szCs w:val="32"/>
        </w:rPr>
        <w:t>第十条</w:t>
      </w:r>
      <w:r>
        <w:rPr>
          <w:rFonts w:hint="eastAsia" w:ascii="黑体" w:hAnsi="黑体" w:eastAsia="黑体" w:cs="黑体"/>
          <w:bCs/>
          <w:color w:val="000000" w:themeColor="text1"/>
          <w:sz w:val="32"/>
          <w:szCs w:val="32"/>
        </w:rPr>
        <w:t>【禁止使用的数据】</w:t>
      </w:r>
      <w:r>
        <w:rPr>
          <w:rFonts w:hint="eastAsia" w:ascii="仿宋_GB2312" w:eastAsia="仿宋_GB2312"/>
          <w:sz w:val="32"/>
          <w:szCs w:val="32"/>
        </w:rPr>
        <w:t>下列信息，不得用于企业信用风险分类管理：</w:t>
      </w:r>
    </w:p>
    <w:p>
      <w:pPr>
        <w:pStyle w:val="4"/>
        <w:spacing w:beforeAutospacing="0" w:afterAutospacing="0" w:line="580" w:lineRule="exact"/>
        <w:ind w:firstLine="645"/>
        <w:rPr>
          <w:rFonts w:ascii="仿宋_GB2312" w:eastAsia="仿宋_GB2312"/>
          <w:sz w:val="32"/>
          <w:szCs w:val="32"/>
        </w:rPr>
      </w:pPr>
      <w:r>
        <w:rPr>
          <w:rFonts w:hint="eastAsia" w:ascii="仿宋_GB2312" w:eastAsia="仿宋_GB2312"/>
          <w:sz w:val="32"/>
          <w:szCs w:val="32"/>
        </w:rPr>
        <w:t>（一）被撤销或被确认违法的具体行政行为信息；部分撤销的具体行政行为，其中撤销部分的信息；</w:t>
      </w:r>
    </w:p>
    <w:p>
      <w:pPr>
        <w:pStyle w:val="4"/>
        <w:spacing w:beforeAutospacing="0" w:afterAutospacing="0" w:line="580" w:lineRule="exact"/>
        <w:ind w:firstLine="645"/>
        <w:rPr>
          <w:rFonts w:ascii="仿宋_GB2312" w:eastAsia="仿宋_GB2312"/>
          <w:sz w:val="32"/>
          <w:szCs w:val="32"/>
        </w:rPr>
      </w:pPr>
      <w:r>
        <w:rPr>
          <w:rFonts w:hint="eastAsia" w:ascii="仿宋_GB2312" w:eastAsia="仿宋_GB2312"/>
          <w:sz w:val="32"/>
          <w:szCs w:val="32"/>
        </w:rPr>
        <w:t>（二）被相关机构认定为误判、错误、笔误等与真实情况有偏差的信息；</w:t>
      </w:r>
    </w:p>
    <w:p>
      <w:pPr>
        <w:pStyle w:val="4"/>
        <w:spacing w:beforeAutospacing="0" w:afterAutospacing="0" w:line="580" w:lineRule="exact"/>
        <w:ind w:firstLine="645"/>
        <w:rPr>
          <w:rFonts w:ascii="仿宋_GB2312" w:eastAsia="仿宋_GB2312"/>
          <w:sz w:val="32"/>
          <w:szCs w:val="32"/>
        </w:rPr>
      </w:pPr>
      <w:r>
        <w:rPr>
          <w:rFonts w:hint="eastAsia" w:ascii="仿宋_GB2312" w:eastAsia="仿宋_GB2312"/>
          <w:sz w:val="32"/>
          <w:szCs w:val="32"/>
        </w:rPr>
        <w:t>（三）已经作出异议标注的信息；</w:t>
      </w:r>
    </w:p>
    <w:p>
      <w:pPr>
        <w:pStyle w:val="4"/>
        <w:spacing w:beforeAutospacing="0" w:afterAutospacing="0" w:line="580" w:lineRule="exact"/>
        <w:ind w:firstLine="645"/>
        <w:rPr>
          <w:rFonts w:ascii="仿宋" w:hAnsi="仿宋" w:eastAsia="仿宋"/>
          <w:color w:val="333333"/>
          <w:sz w:val="32"/>
          <w:szCs w:val="32"/>
        </w:rPr>
      </w:pPr>
      <w:r>
        <w:rPr>
          <w:rFonts w:hint="eastAsia" w:ascii="仿宋_GB2312" w:eastAsia="仿宋_GB2312"/>
          <w:sz w:val="32"/>
          <w:szCs w:val="32"/>
        </w:rPr>
        <w:t>（四）按照有关法律法规、规范性文件规定不宜用于信用风险分类依据的信息。</w:t>
      </w:r>
    </w:p>
    <w:p>
      <w:pPr>
        <w:pStyle w:val="4"/>
        <w:spacing w:beforeAutospacing="0" w:afterAutospacing="0" w:line="580" w:lineRule="exact"/>
        <w:ind w:firstLine="645"/>
        <w:rPr>
          <w:rFonts w:ascii="仿宋_GB2312" w:eastAsia="仿宋_GB2312"/>
          <w:sz w:val="32"/>
          <w:szCs w:val="32"/>
        </w:rPr>
      </w:pPr>
      <w:r>
        <w:rPr>
          <w:rFonts w:hint="eastAsia" w:ascii="黑体" w:hAnsi="黑体" w:eastAsia="黑体"/>
          <w:color w:val="333333"/>
          <w:sz w:val="32"/>
          <w:szCs w:val="32"/>
        </w:rPr>
        <w:t>第十一条</w:t>
      </w:r>
      <w:r>
        <w:rPr>
          <w:rFonts w:hint="eastAsia" w:ascii="黑体" w:hAnsi="黑体" w:eastAsia="黑体" w:cs="黑体"/>
          <w:bCs/>
          <w:color w:val="000000" w:themeColor="text1"/>
          <w:sz w:val="32"/>
          <w:szCs w:val="32"/>
        </w:rPr>
        <w:t xml:space="preserve">【行业分类标识】 </w:t>
      </w:r>
      <w:r>
        <w:rPr>
          <w:rFonts w:hint="eastAsia" w:ascii="仿宋_GB2312" w:eastAsia="仿宋_GB2312"/>
          <w:sz w:val="32"/>
          <w:szCs w:val="32"/>
        </w:rPr>
        <w:t>按照市场监管业务场景对企业进行行业分类，用于识别企业实际经营业务、监管特征以及掌握了解各行业情况。</w:t>
      </w:r>
    </w:p>
    <w:p>
      <w:pPr>
        <w:pStyle w:val="4"/>
        <w:spacing w:beforeAutospacing="0" w:afterAutospacing="0" w:line="580" w:lineRule="exact"/>
        <w:ind w:firstLine="645"/>
        <w:rPr>
          <w:rFonts w:ascii="仿宋_GB2312" w:eastAsia="仿宋_GB2312"/>
          <w:sz w:val="32"/>
          <w:szCs w:val="32"/>
        </w:rPr>
      </w:pPr>
      <w:r>
        <w:rPr>
          <w:rFonts w:hint="eastAsia" w:ascii="仿宋_GB2312" w:eastAsia="仿宋_GB2312"/>
          <w:sz w:val="32"/>
          <w:szCs w:val="32"/>
        </w:rPr>
        <w:t>行业分类标识分为主标识和副标识。主标识指企业的主营业务，每个企业有且仅有一个主标识。副标识指企业其他经营业务或监管特征，每个企业可以有若干个副标识。</w:t>
      </w:r>
    </w:p>
    <w:p>
      <w:pPr>
        <w:pStyle w:val="4"/>
        <w:spacing w:beforeAutospacing="0" w:afterAutospacing="0" w:line="580" w:lineRule="exact"/>
        <w:ind w:firstLine="640" w:firstLineChars="200"/>
        <w:rPr>
          <w:rFonts w:ascii="仿宋_GB2312" w:eastAsia="仿宋_GB2312"/>
          <w:sz w:val="32"/>
          <w:szCs w:val="32"/>
        </w:rPr>
      </w:pPr>
      <w:r>
        <w:rPr>
          <w:rFonts w:hint="eastAsia" w:ascii="黑体" w:hAnsi="黑体" w:eastAsia="黑体"/>
          <w:color w:val="333333"/>
          <w:sz w:val="32"/>
          <w:szCs w:val="32"/>
        </w:rPr>
        <w:t>第十二条</w:t>
      </w:r>
      <w:r>
        <w:rPr>
          <w:rFonts w:hint="eastAsia" w:ascii="黑体" w:hAnsi="黑体" w:eastAsia="黑体" w:cs="黑体"/>
          <w:bCs/>
          <w:color w:val="000000" w:themeColor="text1"/>
          <w:sz w:val="32"/>
          <w:szCs w:val="32"/>
        </w:rPr>
        <w:t xml:space="preserve">【标识清单管理】 </w:t>
      </w:r>
      <w:r>
        <w:rPr>
          <w:rFonts w:hint="eastAsia" w:ascii="仿宋_GB2312" w:eastAsia="仿宋_GB2312"/>
          <w:sz w:val="32"/>
          <w:szCs w:val="32"/>
        </w:rPr>
        <w:t>企业行业分类体系的主标识、副标识类目实施动态管理，由市市场监管局信用监管处根据管理各业务部门实际需求统筹设定。</w:t>
      </w:r>
    </w:p>
    <w:p>
      <w:pPr>
        <w:pStyle w:val="4"/>
        <w:spacing w:beforeAutospacing="0" w:afterAutospacing="0" w:line="580" w:lineRule="exact"/>
        <w:ind w:firstLine="640" w:firstLineChars="200"/>
        <w:rPr>
          <w:rFonts w:ascii="仿宋_GB2312" w:eastAsia="仿宋_GB2312"/>
          <w:sz w:val="32"/>
          <w:szCs w:val="32"/>
        </w:rPr>
      </w:pPr>
      <w:r>
        <w:rPr>
          <w:rFonts w:hint="eastAsia" w:ascii="黑体" w:hAnsi="黑体" w:eastAsia="黑体"/>
          <w:color w:val="333333"/>
          <w:sz w:val="32"/>
          <w:szCs w:val="32"/>
        </w:rPr>
        <w:t>第十三条</w:t>
      </w:r>
      <w:r>
        <w:rPr>
          <w:rFonts w:hint="eastAsia" w:ascii="黑体" w:hAnsi="黑体" w:eastAsia="黑体" w:cs="黑体"/>
          <w:bCs/>
          <w:color w:val="000000" w:themeColor="text1"/>
          <w:sz w:val="32"/>
          <w:szCs w:val="32"/>
        </w:rPr>
        <w:t>【行业分类标识初始化及维护】</w:t>
      </w:r>
      <w:r>
        <w:rPr>
          <w:rFonts w:hint="eastAsia" w:ascii="仿宋_GB2312" w:eastAsia="仿宋_GB2312"/>
          <w:sz w:val="32"/>
          <w:szCs w:val="32"/>
        </w:rPr>
        <w:t>企业行业分类标识由系统根据监管名单、经营许可、行业分类、经营范围、企业类型及业务规模等因素进行初始化。</w:t>
      </w:r>
    </w:p>
    <w:p>
      <w:pPr>
        <w:pStyle w:val="4"/>
        <w:spacing w:beforeAutospacing="0" w:afterAutospacing="0" w:line="580" w:lineRule="exact"/>
        <w:ind w:firstLine="640" w:firstLineChars="200"/>
        <w:rPr>
          <w:rFonts w:ascii="仿宋_GB2312" w:eastAsia="仿宋_GB2312"/>
          <w:sz w:val="32"/>
          <w:szCs w:val="32"/>
        </w:rPr>
      </w:pPr>
      <w:r>
        <w:rPr>
          <w:rFonts w:hint="eastAsia" w:ascii="仿宋_GB2312" w:eastAsia="仿宋_GB2312"/>
          <w:sz w:val="32"/>
          <w:szCs w:val="32"/>
        </w:rPr>
        <w:t>各辖区市场监管部门、各辖区监管所应当根据本监管领域或本辖区内企业的实际经营状况对企业初始标识进行及时调整和维护。</w:t>
      </w:r>
    </w:p>
    <w:p>
      <w:pPr>
        <w:pStyle w:val="4"/>
        <w:spacing w:beforeAutospacing="0" w:afterAutospacing="0" w:line="580" w:lineRule="exact"/>
        <w:ind w:firstLine="640" w:firstLineChars="200"/>
        <w:rPr>
          <w:rFonts w:ascii="仿宋_GB2312" w:eastAsia="仿宋_GB2312"/>
          <w:sz w:val="32"/>
          <w:szCs w:val="32"/>
        </w:rPr>
      </w:pPr>
    </w:p>
    <w:p>
      <w:pPr>
        <w:pStyle w:val="4"/>
        <w:spacing w:beforeAutospacing="0" w:afterAutospacing="0" w:line="580" w:lineRule="exact"/>
        <w:jc w:val="center"/>
        <w:rPr>
          <w:rFonts w:ascii="仿宋_GB2312" w:eastAsia="仿宋_GB2312"/>
          <w:sz w:val="32"/>
          <w:szCs w:val="32"/>
        </w:rPr>
      </w:pPr>
      <w:r>
        <w:rPr>
          <w:rFonts w:hint="eastAsia" w:ascii="黑体" w:hAnsi="黑体" w:eastAsia="黑体" w:cs="黑体"/>
          <w:color w:val="333333"/>
          <w:sz w:val="32"/>
          <w:szCs w:val="32"/>
        </w:rPr>
        <w:t>第三章  企业信用风险分类</w:t>
      </w:r>
    </w:p>
    <w:p>
      <w:pPr>
        <w:pStyle w:val="4"/>
        <w:spacing w:beforeAutospacing="0" w:afterAutospacing="0" w:line="580" w:lineRule="exact"/>
        <w:ind w:firstLine="640" w:firstLineChars="200"/>
        <w:rPr>
          <w:rFonts w:ascii="仿宋_GB2312" w:eastAsia="仿宋_GB2312"/>
          <w:sz w:val="32"/>
          <w:szCs w:val="32"/>
        </w:rPr>
      </w:pPr>
      <w:r>
        <w:rPr>
          <w:rFonts w:hint="eastAsia" w:ascii="黑体" w:hAnsi="黑体" w:eastAsia="黑体" w:cs="黑体"/>
          <w:bCs/>
          <w:color w:val="000000" w:themeColor="text1"/>
          <w:sz w:val="32"/>
          <w:szCs w:val="32"/>
        </w:rPr>
        <w:t xml:space="preserve">第十四条【信用风险分类指标体系】 </w:t>
      </w:r>
      <w:r>
        <w:rPr>
          <w:rFonts w:hint="eastAsia" w:ascii="仿宋_GB2312" w:eastAsia="仿宋_GB2312"/>
          <w:sz w:val="32"/>
          <w:szCs w:val="32"/>
        </w:rPr>
        <w:t>企业信用风险指标体系由经营与变更情况、登记与许可信息、处罚与负面名单、案件与投诉举报、评价与表彰记录等五个维度组成。</w:t>
      </w:r>
    </w:p>
    <w:p>
      <w:pPr>
        <w:pStyle w:val="4"/>
        <w:spacing w:beforeAutospacing="0" w:afterAutospacing="0" w:line="580" w:lineRule="exact"/>
        <w:ind w:firstLine="640" w:firstLineChars="200"/>
        <w:rPr>
          <w:rFonts w:ascii="仿宋_GB2312" w:eastAsia="仿宋_GB2312"/>
          <w:sz w:val="32"/>
          <w:szCs w:val="32"/>
        </w:rPr>
      </w:pPr>
      <w:r>
        <w:rPr>
          <w:rFonts w:hint="eastAsia" w:ascii="仿宋_GB2312" w:eastAsia="仿宋_GB2312"/>
          <w:sz w:val="32"/>
          <w:szCs w:val="32"/>
        </w:rPr>
        <w:t>各维度的具体指标项和权重实行动态管理，由市市场监管局对信用风险进行全方位评估，并根据应用结果进行校验、优化和调整。</w:t>
      </w:r>
    </w:p>
    <w:p>
      <w:pPr>
        <w:pStyle w:val="4"/>
        <w:spacing w:beforeAutospacing="0" w:afterAutospacing="0" w:line="580" w:lineRule="exact"/>
        <w:ind w:firstLine="645"/>
        <w:rPr>
          <w:rFonts w:ascii="仿宋_GB2312" w:eastAsia="仿宋_GB2312"/>
          <w:sz w:val="32"/>
          <w:szCs w:val="32"/>
        </w:rPr>
      </w:pPr>
      <w:r>
        <w:rPr>
          <w:rFonts w:hint="eastAsia" w:ascii="黑体" w:hAnsi="黑体" w:eastAsia="黑体"/>
          <w:color w:val="333333"/>
          <w:sz w:val="32"/>
          <w:szCs w:val="32"/>
        </w:rPr>
        <w:t>第十五条</w:t>
      </w:r>
      <w:r>
        <w:rPr>
          <w:rFonts w:hint="eastAsia" w:ascii="黑体" w:hAnsi="黑体" w:eastAsia="黑体" w:cs="黑体"/>
          <w:bCs/>
          <w:color w:val="000000" w:themeColor="text1"/>
          <w:sz w:val="32"/>
          <w:szCs w:val="32"/>
        </w:rPr>
        <w:t>【信用风险等级计算】</w:t>
      </w:r>
      <w:r>
        <w:rPr>
          <w:rFonts w:hint="eastAsia" w:ascii="黑体" w:hAnsi="黑体" w:eastAsia="黑体"/>
          <w:color w:val="333333"/>
          <w:sz w:val="32"/>
          <w:szCs w:val="32"/>
        </w:rPr>
        <w:t xml:space="preserve"> </w:t>
      </w:r>
      <w:r>
        <w:rPr>
          <w:rFonts w:hint="eastAsia" w:ascii="仿宋_GB2312" w:eastAsia="仿宋_GB2312"/>
          <w:sz w:val="32"/>
          <w:szCs w:val="32"/>
        </w:rPr>
        <w:t>企业信用风险等级由系统依据信用风险数据库归集的信用信息数据情况，按照信用风险指标体系，运用模型算法自动计算综合得分，实现对企业信用风险等级的自动分类和动态更新。</w:t>
      </w:r>
    </w:p>
    <w:p>
      <w:pPr>
        <w:pStyle w:val="4"/>
        <w:spacing w:beforeAutospacing="0" w:afterAutospacing="0" w:line="580" w:lineRule="exact"/>
        <w:ind w:firstLine="640" w:firstLineChars="200"/>
        <w:rPr>
          <w:rFonts w:ascii="仿宋_GB2312" w:eastAsia="仿宋_GB2312"/>
          <w:sz w:val="32"/>
          <w:szCs w:val="32"/>
        </w:rPr>
      </w:pPr>
      <w:r>
        <w:rPr>
          <w:rFonts w:hint="eastAsia" w:ascii="黑体" w:hAnsi="黑体" w:eastAsia="黑体" w:cs="黑体"/>
          <w:bCs/>
          <w:color w:val="000000" w:themeColor="text1"/>
          <w:sz w:val="32"/>
          <w:szCs w:val="32"/>
        </w:rPr>
        <w:t>第十六条【信用风险等级】</w:t>
      </w:r>
      <w:r>
        <w:rPr>
          <w:rFonts w:hint="eastAsia" w:ascii="仿宋_GB2312" w:eastAsia="仿宋_GB2312"/>
          <w:sz w:val="32"/>
          <w:szCs w:val="32"/>
        </w:rPr>
        <w:t xml:space="preserve"> 根据信用风险指标体系五个维度的综合得分，企业风险等级分为五个级别：</w:t>
      </w:r>
    </w:p>
    <w:p>
      <w:pPr>
        <w:pStyle w:val="4"/>
        <w:numPr>
          <w:ilvl w:val="0"/>
          <w:numId w:val="2"/>
        </w:numPr>
        <w:spacing w:beforeAutospacing="0" w:afterAutospacing="0" w:line="580" w:lineRule="exact"/>
        <w:rPr>
          <w:rFonts w:ascii="仿宋_GB2312" w:eastAsia="仿宋_GB2312"/>
          <w:sz w:val="32"/>
          <w:szCs w:val="32"/>
        </w:rPr>
      </w:pPr>
      <w:r>
        <w:rPr>
          <w:rFonts w:hint="eastAsia" w:ascii="仿宋_GB2312" w:eastAsia="仿宋_GB2312"/>
          <w:sz w:val="32"/>
          <w:szCs w:val="32"/>
        </w:rPr>
        <w:t>A+级，综合得分在750分以上，表现为经营状况稳定，存续合规等风险发生概率低。</w:t>
      </w:r>
    </w:p>
    <w:p>
      <w:pPr>
        <w:pStyle w:val="4"/>
        <w:numPr>
          <w:ilvl w:val="0"/>
          <w:numId w:val="2"/>
        </w:numPr>
        <w:spacing w:beforeAutospacing="0" w:afterAutospacing="0" w:line="580" w:lineRule="exact"/>
        <w:rPr>
          <w:rFonts w:ascii="仿宋_GB2312" w:eastAsia="仿宋_GB2312"/>
          <w:sz w:val="32"/>
          <w:szCs w:val="32"/>
        </w:rPr>
      </w:pPr>
      <w:r>
        <w:rPr>
          <w:rFonts w:hint="eastAsia" w:ascii="仿宋_GB2312" w:eastAsia="仿宋_GB2312"/>
          <w:sz w:val="32"/>
          <w:szCs w:val="32"/>
        </w:rPr>
        <w:t>A级，综合得分在671-750分之间，表现为经营状况稳定，存续合规等风险发生概率较低。</w:t>
      </w:r>
    </w:p>
    <w:p>
      <w:pPr>
        <w:pStyle w:val="4"/>
        <w:numPr>
          <w:ilvl w:val="0"/>
          <w:numId w:val="2"/>
        </w:numPr>
        <w:spacing w:beforeAutospacing="0" w:afterAutospacing="0" w:line="580" w:lineRule="exact"/>
        <w:rPr>
          <w:rFonts w:ascii="仿宋_GB2312" w:eastAsia="仿宋_GB2312"/>
          <w:sz w:val="32"/>
          <w:szCs w:val="32"/>
        </w:rPr>
      </w:pPr>
      <w:r>
        <w:rPr>
          <w:rFonts w:hint="eastAsia" w:ascii="仿宋_GB2312" w:eastAsia="仿宋_GB2312"/>
          <w:sz w:val="32"/>
          <w:szCs w:val="32"/>
        </w:rPr>
        <w:t>B级，综合得分在601-670分之间，表现为成立年限较短，无许可经营项目，近期无行政处罚、行政奖励及相关领域认证评价记录等。</w:t>
      </w:r>
    </w:p>
    <w:p>
      <w:pPr>
        <w:pStyle w:val="4"/>
        <w:numPr>
          <w:ilvl w:val="0"/>
          <w:numId w:val="2"/>
        </w:numPr>
        <w:spacing w:beforeAutospacing="0" w:afterAutospacing="0" w:line="580" w:lineRule="exact"/>
        <w:rPr>
          <w:rFonts w:ascii="仿宋_GB2312" w:eastAsia="仿宋_GB2312"/>
          <w:sz w:val="32"/>
          <w:szCs w:val="32"/>
        </w:rPr>
      </w:pPr>
      <w:r>
        <w:rPr>
          <w:rFonts w:hint="eastAsia" w:ascii="仿宋_GB2312" w:eastAsia="仿宋_GB2312"/>
          <w:sz w:val="32"/>
          <w:szCs w:val="32"/>
        </w:rPr>
        <w:t>C级，综合得分在555-600分之间，表现为成立年限较短，曾被列入或当前处于经营异常状态，面临一定的存续、合规风险。</w:t>
      </w:r>
    </w:p>
    <w:p>
      <w:pPr>
        <w:pStyle w:val="4"/>
        <w:numPr>
          <w:ilvl w:val="0"/>
          <w:numId w:val="2"/>
        </w:numPr>
        <w:spacing w:beforeAutospacing="0" w:afterAutospacing="0" w:line="580" w:lineRule="exact"/>
        <w:rPr>
          <w:rFonts w:ascii="仿宋_GB2312" w:eastAsia="仿宋_GB2312"/>
          <w:sz w:val="32"/>
          <w:szCs w:val="32"/>
        </w:rPr>
      </w:pPr>
      <w:r>
        <w:rPr>
          <w:rFonts w:hint="eastAsia" w:ascii="仿宋_GB2312" w:eastAsia="仿宋_GB2312"/>
          <w:sz w:val="32"/>
          <w:szCs w:val="32"/>
        </w:rPr>
        <w:t>D级，综合得分在555分以下，表现为曾被列入或当前处于经营异常状态，面临严重的存续、合规风险。</w:t>
      </w:r>
    </w:p>
    <w:p>
      <w:pPr>
        <w:pStyle w:val="4"/>
        <w:spacing w:beforeAutospacing="0" w:afterAutospacing="0" w:line="580" w:lineRule="exact"/>
        <w:ind w:firstLine="640" w:firstLineChars="200"/>
        <w:rPr>
          <w:rFonts w:ascii="仿宋_GB2312" w:eastAsia="仿宋_GB2312"/>
          <w:sz w:val="32"/>
          <w:szCs w:val="32"/>
        </w:rPr>
      </w:pPr>
      <w:r>
        <w:rPr>
          <w:rFonts w:hint="eastAsia" w:ascii="黑体" w:hAnsi="黑体" w:eastAsia="黑体"/>
          <w:color w:val="333333"/>
          <w:sz w:val="32"/>
          <w:szCs w:val="32"/>
        </w:rPr>
        <w:t xml:space="preserve">第十七条 </w:t>
      </w:r>
      <w:r>
        <w:rPr>
          <w:rFonts w:hint="eastAsia" w:ascii="黑体" w:hAnsi="黑体" w:eastAsia="黑体" w:cs="黑体"/>
          <w:bCs/>
          <w:color w:val="000000" w:themeColor="text1"/>
          <w:sz w:val="32"/>
          <w:szCs w:val="32"/>
        </w:rPr>
        <w:t>【E类企业】</w:t>
      </w:r>
      <w:r>
        <w:rPr>
          <w:rFonts w:hint="eastAsia" w:ascii="仿宋_GB2312" w:eastAsia="仿宋_GB2312"/>
          <w:sz w:val="32"/>
          <w:szCs w:val="32"/>
        </w:rPr>
        <w:t>有下列情形之一的，直接判定为E类企业：</w:t>
      </w:r>
    </w:p>
    <w:p>
      <w:pPr>
        <w:pStyle w:val="4"/>
        <w:spacing w:beforeAutospacing="0" w:afterAutospacing="0" w:line="580" w:lineRule="exact"/>
        <w:ind w:firstLine="640" w:firstLineChars="200"/>
        <w:rPr>
          <w:rFonts w:ascii="仿宋_GB2312" w:eastAsia="仿宋_GB2312"/>
          <w:sz w:val="32"/>
          <w:szCs w:val="32"/>
        </w:rPr>
      </w:pPr>
      <w:r>
        <w:rPr>
          <w:rFonts w:hint="eastAsia" w:ascii="仿宋_GB2312" w:eastAsia="仿宋_GB2312"/>
          <w:sz w:val="32"/>
          <w:szCs w:val="32"/>
        </w:rPr>
        <w:t>（一）登记状态为“清算”或“已注销”;</w:t>
      </w:r>
    </w:p>
    <w:p>
      <w:pPr>
        <w:pStyle w:val="4"/>
        <w:spacing w:beforeAutospacing="0" w:afterAutospacing="0" w:line="580" w:lineRule="exact"/>
        <w:ind w:firstLine="640" w:firstLineChars="200"/>
        <w:rPr>
          <w:rFonts w:ascii="仿宋_GB2312" w:eastAsia="仿宋_GB2312"/>
          <w:sz w:val="32"/>
          <w:szCs w:val="32"/>
        </w:rPr>
      </w:pPr>
      <w:r>
        <w:rPr>
          <w:rFonts w:hint="eastAsia" w:ascii="仿宋_GB2312" w:eastAsia="仿宋_GB2312"/>
          <w:sz w:val="32"/>
          <w:szCs w:val="32"/>
        </w:rPr>
        <w:t>（二）被列入严重违法失信企业名单的；</w:t>
      </w:r>
    </w:p>
    <w:p>
      <w:pPr>
        <w:pStyle w:val="4"/>
        <w:spacing w:beforeAutospacing="0" w:afterAutospacing="0" w:line="580" w:lineRule="exact"/>
        <w:ind w:firstLine="640" w:firstLineChars="200"/>
        <w:rPr>
          <w:rFonts w:ascii="仿宋_GB2312" w:eastAsia="仿宋_GB2312"/>
          <w:sz w:val="32"/>
          <w:szCs w:val="32"/>
        </w:rPr>
      </w:pPr>
      <w:r>
        <w:rPr>
          <w:rFonts w:hint="eastAsia" w:ascii="仿宋_GB2312" w:eastAsia="仿宋_GB2312"/>
          <w:sz w:val="32"/>
          <w:szCs w:val="32"/>
        </w:rPr>
        <w:t>（三） 被依法责令停产停业、吊销营业执照或许可证的。</w:t>
      </w:r>
    </w:p>
    <w:p>
      <w:pPr>
        <w:pStyle w:val="4"/>
        <w:spacing w:beforeAutospacing="0" w:afterAutospacing="0" w:line="580" w:lineRule="exact"/>
        <w:ind w:firstLine="645"/>
        <w:rPr>
          <w:rFonts w:ascii="仿宋" w:hAnsi="仿宋" w:eastAsia="仿宋"/>
          <w:color w:val="333333"/>
          <w:sz w:val="32"/>
          <w:szCs w:val="32"/>
        </w:rPr>
      </w:pPr>
      <w:r>
        <w:rPr>
          <w:rFonts w:hint="eastAsia" w:ascii="黑体" w:hAnsi="黑体" w:eastAsia="黑体"/>
          <w:color w:val="333333"/>
          <w:sz w:val="32"/>
          <w:szCs w:val="32"/>
        </w:rPr>
        <w:t>第十八条</w:t>
      </w:r>
      <w:r>
        <w:rPr>
          <w:rFonts w:hint="eastAsia" w:ascii="黑体" w:hAnsi="黑体" w:eastAsia="黑体" w:cs="黑体"/>
          <w:bCs/>
          <w:color w:val="000000" w:themeColor="text1"/>
          <w:sz w:val="32"/>
          <w:szCs w:val="32"/>
        </w:rPr>
        <w:t>【高风险项等级调整】</w:t>
      </w:r>
      <w:r>
        <w:rPr>
          <w:rFonts w:hint="eastAsia" w:ascii="仿宋_GB2312" w:eastAsia="仿宋_GB2312"/>
          <w:sz w:val="32"/>
          <w:szCs w:val="32"/>
        </w:rPr>
        <w:t>出现下列情形之一的，企业的信用风险等级直接向高风险方向调整两个等级，但调整后的风险等级最高为D级：</w:t>
      </w:r>
      <w:r>
        <w:rPr>
          <w:rFonts w:hint="eastAsia" w:ascii="仿宋_GB2312" w:eastAsia="仿宋_GB2312"/>
          <w:sz w:val="32"/>
          <w:szCs w:val="32"/>
        </w:rPr>
        <w:br w:type="textWrapping"/>
      </w:r>
      <w:r>
        <w:rPr>
          <w:rFonts w:hint="eastAsia" w:ascii="仿宋_GB2312" w:eastAsia="仿宋_GB2312"/>
          <w:sz w:val="32"/>
          <w:szCs w:val="32"/>
        </w:rPr>
        <w:t xml:space="preserve">    （一）发生重大安全生产事故；</w:t>
      </w:r>
    </w:p>
    <w:p>
      <w:pPr>
        <w:pStyle w:val="4"/>
        <w:spacing w:beforeAutospacing="0" w:afterAutospacing="0" w:line="580" w:lineRule="exact"/>
        <w:ind w:firstLine="645"/>
        <w:rPr>
          <w:rFonts w:ascii="仿宋_GB2312" w:eastAsia="仿宋_GB2312"/>
          <w:sz w:val="32"/>
          <w:szCs w:val="32"/>
        </w:rPr>
      </w:pPr>
      <w:r>
        <w:rPr>
          <w:rFonts w:hint="eastAsia" w:ascii="仿宋_GB2312" w:eastAsia="仿宋_GB2312"/>
          <w:sz w:val="32"/>
          <w:szCs w:val="32"/>
        </w:rPr>
        <w:t>（二）两年内发生过动产抵押且因拖欠金融机构贷款被依法制裁；</w:t>
      </w:r>
    </w:p>
    <w:p>
      <w:pPr>
        <w:pStyle w:val="4"/>
        <w:spacing w:beforeAutospacing="0" w:afterAutospacing="0" w:line="580" w:lineRule="exact"/>
        <w:ind w:firstLine="645"/>
        <w:rPr>
          <w:rFonts w:ascii="仿宋_GB2312" w:eastAsia="仿宋_GB2312"/>
          <w:sz w:val="32"/>
          <w:szCs w:val="32"/>
        </w:rPr>
      </w:pPr>
      <w:r>
        <w:rPr>
          <w:rFonts w:hint="eastAsia" w:ascii="仿宋_GB2312" w:eastAsia="仿宋_GB2312"/>
          <w:sz w:val="32"/>
          <w:szCs w:val="32"/>
        </w:rPr>
        <w:t>（三）被列入严重质量失信企业名单的；</w:t>
      </w:r>
    </w:p>
    <w:p>
      <w:pPr>
        <w:pStyle w:val="4"/>
        <w:spacing w:beforeAutospacing="0" w:afterAutospacing="0" w:line="580" w:lineRule="exact"/>
        <w:ind w:firstLine="645"/>
        <w:rPr>
          <w:rFonts w:ascii="仿宋_GB2312" w:eastAsia="仿宋_GB2312"/>
          <w:sz w:val="32"/>
          <w:szCs w:val="32"/>
        </w:rPr>
      </w:pPr>
      <w:r>
        <w:rPr>
          <w:rFonts w:hint="eastAsia" w:ascii="仿宋_GB2312" w:eastAsia="仿宋_GB2312"/>
          <w:sz w:val="32"/>
          <w:szCs w:val="32"/>
        </w:rPr>
        <w:t>（四）被列入电子商务失信问题专项治理黑名单的；</w:t>
      </w:r>
    </w:p>
    <w:p>
      <w:pPr>
        <w:pStyle w:val="4"/>
        <w:spacing w:beforeAutospacing="0" w:afterAutospacing="0" w:line="580" w:lineRule="exact"/>
        <w:ind w:firstLine="645"/>
        <w:rPr>
          <w:rFonts w:ascii="仿宋_GB2312" w:eastAsia="仿宋_GB2312"/>
          <w:sz w:val="32"/>
          <w:szCs w:val="32"/>
        </w:rPr>
      </w:pPr>
      <w:r>
        <w:rPr>
          <w:rFonts w:hint="eastAsia" w:ascii="仿宋_GB2312" w:eastAsia="仿宋_GB2312"/>
          <w:sz w:val="32"/>
          <w:szCs w:val="32"/>
        </w:rPr>
        <w:t>（五）预付款消费逃逸的；</w:t>
      </w:r>
    </w:p>
    <w:p>
      <w:pPr>
        <w:pStyle w:val="4"/>
        <w:spacing w:beforeAutospacing="0" w:afterAutospacing="0" w:line="580" w:lineRule="exact"/>
        <w:ind w:firstLine="645"/>
        <w:rPr>
          <w:rFonts w:ascii="仿宋_GB2312" w:eastAsia="仿宋_GB2312"/>
          <w:sz w:val="32"/>
          <w:szCs w:val="32"/>
        </w:rPr>
      </w:pPr>
      <w:r>
        <w:rPr>
          <w:rFonts w:hint="eastAsia" w:ascii="仿宋_GB2312" w:eastAsia="仿宋_GB2312"/>
          <w:sz w:val="32"/>
          <w:szCs w:val="32"/>
        </w:rPr>
        <w:t>（六）拒不执行行政处罚决定的；</w:t>
      </w:r>
    </w:p>
    <w:p>
      <w:pPr>
        <w:pStyle w:val="4"/>
        <w:spacing w:beforeAutospacing="0" w:afterAutospacing="0" w:line="580" w:lineRule="exact"/>
        <w:ind w:firstLine="645"/>
        <w:rPr>
          <w:rFonts w:ascii="仿宋_GB2312" w:eastAsia="仿宋_GB2312"/>
          <w:sz w:val="32"/>
          <w:szCs w:val="32"/>
        </w:rPr>
      </w:pPr>
      <w:r>
        <w:rPr>
          <w:rFonts w:hint="eastAsia" w:ascii="仿宋_GB2312" w:eastAsia="仿宋_GB2312"/>
          <w:sz w:val="32"/>
          <w:szCs w:val="32"/>
        </w:rPr>
        <w:t>（七）连续两年无纳税、住房公积金缴存、社保缴纳记录的。</w:t>
      </w:r>
    </w:p>
    <w:p>
      <w:pPr>
        <w:pStyle w:val="4"/>
        <w:spacing w:beforeAutospacing="0" w:afterAutospacing="0" w:line="580" w:lineRule="exact"/>
        <w:ind w:firstLine="645"/>
        <w:rPr>
          <w:rFonts w:ascii="仿宋_GB2312" w:eastAsia="仿宋_GB2312"/>
          <w:sz w:val="32"/>
          <w:szCs w:val="32"/>
        </w:rPr>
      </w:pPr>
      <w:r>
        <w:rPr>
          <w:rFonts w:hint="eastAsia" w:ascii="黑体" w:hAnsi="黑体" w:eastAsia="黑体"/>
          <w:color w:val="333333"/>
          <w:sz w:val="32"/>
          <w:szCs w:val="32"/>
        </w:rPr>
        <w:t>第十九条</w:t>
      </w:r>
      <w:r>
        <w:rPr>
          <w:rFonts w:hint="eastAsia" w:ascii="黑体" w:hAnsi="黑体" w:eastAsia="黑体" w:cs="黑体"/>
          <w:bCs/>
          <w:color w:val="000000" w:themeColor="text1"/>
          <w:sz w:val="32"/>
          <w:szCs w:val="32"/>
        </w:rPr>
        <w:t>【中风险项等级调整】</w:t>
      </w:r>
      <w:r>
        <w:rPr>
          <w:rFonts w:hint="eastAsia" w:ascii="仿宋_GB2312" w:eastAsia="仿宋_GB2312"/>
          <w:sz w:val="32"/>
          <w:szCs w:val="32"/>
        </w:rPr>
        <w:t>出现下列情形之一的，企业的信用风险等级直接向高风险方向调整一个等级，但调整后的风险等级最高为D级：</w:t>
      </w:r>
      <w:r>
        <w:rPr>
          <w:rFonts w:hint="eastAsia" w:ascii="仿宋_GB2312" w:eastAsia="仿宋_GB2312"/>
          <w:sz w:val="32"/>
          <w:szCs w:val="32"/>
        </w:rPr>
        <w:br w:type="textWrapping"/>
      </w:r>
      <w:r>
        <w:rPr>
          <w:rFonts w:hint="eastAsia" w:ascii="仿宋_GB2312" w:eastAsia="仿宋_GB2312"/>
          <w:sz w:val="32"/>
          <w:szCs w:val="32"/>
        </w:rPr>
        <w:t xml:space="preserve">    （一）发生安全生产事故，或有不良安全生产记录的；</w:t>
      </w:r>
    </w:p>
    <w:p>
      <w:pPr>
        <w:pStyle w:val="4"/>
        <w:numPr>
          <w:ilvl w:val="0"/>
          <w:numId w:val="3"/>
        </w:numPr>
        <w:spacing w:beforeAutospacing="0" w:afterAutospacing="0" w:line="580" w:lineRule="exact"/>
        <w:ind w:firstLine="645"/>
        <w:rPr>
          <w:rFonts w:ascii="仿宋_GB2312" w:eastAsia="仿宋_GB2312"/>
          <w:sz w:val="32"/>
          <w:szCs w:val="32"/>
        </w:rPr>
      </w:pPr>
      <w:r>
        <w:rPr>
          <w:rFonts w:hint="eastAsia" w:ascii="仿宋_GB2312" w:eastAsia="仿宋_GB2312"/>
          <w:sz w:val="32"/>
          <w:szCs w:val="32"/>
        </w:rPr>
        <w:t>有特种设备抽检、产品质量抽检、食品安全抽检、农产品监测、产品计量不合格记录的；</w:t>
      </w:r>
    </w:p>
    <w:p>
      <w:pPr>
        <w:pStyle w:val="4"/>
        <w:numPr>
          <w:ilvl w:val="0"/>
          <w:numId w:val="3"/>
        </w:numPr>
        <w:spacing w:beforeAutospacing="0" w:afterAutospacing="0" w:line="580" w:lineRule="exact"/>
        <w:ind w:firstLine="645"/>
        <w:rPr>
          <w:rFonts w:ascii="仿宋_GB2312" w:eastAsia="仿宋_GB2312"/>
          <w:sz w:val="32"/>
          <w:szCs w:val="32"/>
        </w:rPr>
      </w:pPr>
      <w:r>
        <w:rPr>
          <w:rFonts w:hint="eastAsia" w:ascii="仿宋_GB2312" w:eastAsia="仿宋_GB2312"/>
          <w:sz w:val="32"/>
          <w:szCs w:val="32"/>
        </w:rPr>
        <w:t>有消防检查不合格记录的；</w:t>
      </w:r>
    </w:p>
    <w:p>
      <w:pPr>
        <w:pStyle w:val="4"/>
        <w:numPr>
          <w:ilvl w:val="0"/>
          <w:numId w:val="3"/>
        </w:numPr>
        <w:spacing w:beforeAutospacing="0" w:afterAutospacing="0" w:line="580" w:lineRule="exact"/>
        <w:ind w:firstLine="645"/>
        <w:rPr>
          <w:rFonts w:ascii="仿宋_GB2312" w:eastAsia="仿宋_GB2312"/>
          <w:sz w:val="32"/>
          <w:szCs w:val="32"/>
        </w:rPr>
      </w:pPr>
      <w:r>
        <w:rPr>
          <w:rFonts w:hint="eastAsia" w:ascii="仿宋_GB2312" w:eastAsia="仿宋_GB2312"/>
          <w:sz w:val="32"/>
          <w:szCs w:val="32"/>
        </w:rPr>
        <w:t>有人力资源社会保障部门欠薪记录的；</w:t>
      </w:r>
    </w:p>
    <w:p>
      <w:pPr>
        <w:pStyle w:val="4"/>
        <w:numPr>
          <w:ilvl w:val="0"/>
          <w:numId w:val="3"/>
        </w:numPr>
        <w:spacing w:beforeAutospacing="0" w:afterAutospacing="0" w:line="580" w:lineRule="exact"/>
        <w:ind w:firstLine="645"/>
        <w:rPr>
          <w:rFonts w:ascii="仿宋_GB2312" w:eastAsia="仿宋_GB2312"/>
          <w:sz w:val="32"/>
          <w:szCs w:val="32"/>
        </w:rPr>
      </w:pPr>
      <w:r>
        <w:rPr>
          <w:rFonts w:hint="eastAsia" w:ascii="仿宋_GB2312" w:eastAsia="仿宋_GB2312"/>
          <w:sz w:val="32"/>
          <w:szCs w:val="32"/>
        </w:rPr>
        <w:t>属于市公安局交警局统计违法率前200名的客运单位；</w:t>
      </w:r>
    </w:p>
    <w:p>
      <w:pPr>
        <w:pStyle w:val="4"/>
        <w:numPr>
          <w:ilvl w:val="0"/>
          <w:numId w:val="3"/>
        </w:numPr>
        <w:spacing w:beforeAutospacing="0" w:afterAutospacing="0" w:line="580" w:lineRule="exact"/>
        <w:ind w:firstLine="645"/>
        <w:rPr>
          <w:rFonts w:ascii="仿宋_GB2312" w:eastAsia="仿宋_GB2312"/>
          <w:sz w:val="32"/>
          <w:szCs w:val="32"/>
        </w:rPr>
      </w:pPr>
      <w:r>
        <w:rPr>
          <w:rFonts w:hint="eastAsia" w:ascii="仿宋_GB2312" w:eastAsia="仿宋_GB2312"/>
          <w:sz w:val="32"/>
          <w:szCs w:val="32"/>
        </w:rPr>
        <w:t>被列入专项资金违规失信名单;</w:t>
      </w:r>
    </w:p>
    <w:p>
      <w:pPr>
        <w:pStyle w:val="4"/>
        <w:numPr>
          <w:ilvl w:val="0"/>
          <w:numId w:val="3"/>
        </w:numPr>
        <w:spacing w:beforeAutospacing="0" w:afterAutospacing="0" w:line="580" w:lineRule="exact"/>
        <w:ind w:firstLine="645"/>
        <w:rPr>
          <w:rFonts w:ascii="仿宋_GB2312" w:eastAsia="仿宋_GB2312"/>
          <w:sz w:val="32"/>
          <w:szCs w:val="32"/>
        </w:rPr>
      </w:pPr>
      <w:r>
        <w:rPr>
          <w:rFonts w:hint="eastAsia" w:ascii="仿宋_GB2312" w:eastAsia="仿宋_GB2312"/>
          <w:sz w:val="32"/>
          <w:szCs w:val="32"/>
        </w:rPr>
        <w:t>被列入海关失信企业名单的；</w:t>
      </w:r>
    </w:p>
    <w:p>
      <w:pPr>
        <w:pStyle w:val="4"/>
        <w:spacing w:beforeAutospacing="0" w:afterAutospacing="0" w:line="580" w:lineRule="exact"/>
        <w:ind w:firstLine="645"/>
        <w:rPr>
          <w:rFonts w:ascii="仿宋_GB2312" w:eastAsia="仿宋_GB2312"/>
          <w:sz w:val="32"/>
          <w:szCs w:val="32"/>
        </w:rPr>
      </w:pPr>
      <w:r>
        <w:rPr>
          <w:rFonts w:hint="eastAsia" w:ascii="仿宋_GB2312" w:eastAsia="仿宋_GB2312"/>
          <w:sz w:val="32"/>
          <w:szCs w:val="32"/>
        </w:rPr>
        <w:t>（八）列入失信药品零售企业名单的；</w:t>
      </w:r>
    </w:p>
    <w:p>
      <w:pPr>
        <w:pStyle w:val="4"/>
        <w:spacing w:beforeAutospacing="0" w:afterAutospacing="0" w:line="580" w:lineRule="exact"/>
        <w:ind w:firstLine="645"/>
        <w:rPr>
          <w:rFonts w:ascii="仿宋_GB2312" w:eastAsia="仿宋_GB2312"/>
          <w:sz w:val="32"/>
          <w:szCs w:val="32"/>
        </w:rPr>
      </w:pPr>
      <w:r>
        <w:rPr>
          <w:rFonts w:hint="eastAsia" w:ascii="仿宋_GB2312" w:eastAsia="仿宋_GB2312"/>
          <w:sz w:val="32"/>
          <w:szCs w:val="32"/>
        </w:rPr>
        <w:t>（九）两年内控股股东变更、负责人变更和经营范围均发生变更的；</w:t>
      </w:r>
    </w:p>
    <w:p>
      <w:pPr>
        <w:pStyle w:val="4"/>
        <w:spacing w:beforeAutospacing="0" w:afterAutospacing="0" w:line="580" w:lineRule="exact"/>
        <w:ind w:firstLine="645"/>
        <w:rPr>
          <w:rFonts w:ascii="微软雅黑" w:hAnsi="微软雅黑" w:eastAsia="微软雅黑"/>
          <w:color w:val="333333"/>
          <w:sz w:val="21"/>
          <w:szCs w:val="21"/>
        </w:rPr>
      </w:pPr>
      <w:r>
        <w:rPr>
          <w:rFonts w:hint="eastAsia" w:ascii="仿宋_GB2312" w:eastAsia="仿宋_GB2312"/>
          <w:sz w:val="32"/>
          <w:szCs w:val="32"/>
        </w:rPr>
        <w:t>（十）根据监管部门实际，需要调整风险等级的其他情形。</w:t>
      </w:r>
    </w:p>
    <w:p>
      <w:pPr>
        <w:pStyle w:val="4"/>
        <w:spacing w:beforeAutospacing="0" w:afterAutospacing="0" w:line="58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第四章  差异化管理</w:t>
      </w:r>
    </w:p>
    <w:p>
      <w:pPr>
        <w:pStyle w:val="4"/>
        <w:spacing w:beforeAutospacing="0" w:afterAutospacing="0" w:line="580" w:lineRule="exact"/>
        <w:rPr>
          <w:rFonts w:ascii="黑体" w:hAnsi="黑体" w:eastAsia="黑体" w:cs="黑体"/>
          <w:color w:val="333333"/>
          <w:sz w:val="32"/>
          <w:szCs w:val="32"/>
        </w:rPr>
      </w:pPr>
      <w:r>
        <w:rPr>
          <w:rFonts w:hint="eastAsia" w:ascii="黑体" w:hAnsi="黑体" w:eastAsia="黑体"/>
          <w:color w:val="333333"/>
          <w:sz w:val="32"/>
          <w:szCs w:val="32"/>
        </w:rPr>
        <w:t xml:space="preserve">    第二十条</w:t>
      </w:r>
      <w:r>
        <w:rPr>
          <w:rFonts w:hint="eastAsia" w:ascii="黑体" w:hAnsi="黑体" w:eastAsia="黑体" w:cs="黑体"/>
          <w:bCs/>
          <w:color w:val="000000" w:themeColor="text1"/>
          <w:sz w:val="32"/>
          <w:szCs w:val="32"/>
        </w:rPr>
        <w:t>【信用风险分类应用】</w:t>
      </w:r>
      <w:r>
        <w:rPr>
          <w:rFonts w:hint="eastAsia" w:ascii="仿宋" w:hAnsi="仿宋" w:eastAsia="仿宋"/>
          <w:color w:val="333333"/>
          <w:sz w:val="32"/>
          <w:szCs w:val="32"/>
        </w:rPr>
        <w:t xml:space="preserve"> </w:t>
      </w:r>
      <w:r>
        <w:rPr>
          <w:rFonts w:hint="eastAsia" w:ascii="仿宋_GB2312" w:eastAsia="仿宋_GB2312"/>
          <w:sz w:val="32"/>
          <w:szCs w:val="32"/>
        </w:rPr>
        <w:t>各级市场监管部门要积极应用企业信用风险分类结果，建立健全相适应的监管机制，采取差异化监管措施，将</w:t>
      </w:r>
      <w:r>
        <w:rPr>
          <w:rFonts w:hint="default" w:ascii="仿宋_GB2312" w:eastAsia="仿宋_GB2312"/>
          <w:sz w:val="32"/>
          <w:szCs w:val="32"/>
          <w:lang w:val="en"/>
        </w:rPr>
        <w:t>“双随机、一公开”</w:t>
      </w:r>
      <w:r>
        <w:rPr>
          <w:rFonts w:hint="eastAsia" w:ascii="仿宋_GB2312" w:eastAsia="仿宋_GB2312"/>
          <w:sz w:val="32"/>
          <w:szCs w:val="32"/>
        </w:rPr>
        <w:t>监管、专项执法行动等与企业信用风险分类结果有机结合，提升监管精准化和智能化水平。</w:t>
      </w:r>
    </w:p>
    <w:p>
      <w:pPr>
        <w:pStyle w:val="4"/>
        <w:spacing w:beforeAutospacing="0" w:afterAutospacing="0" w:line="580" w:lineRule="exact"/>
        <w:ind w:firstLine="640" w:firstLineChars="200"/>
        <w:rPr>
          <w:rFonts w:ascii="微软雅黑" w:hAnsi="微软雅黑" w:eastAsia="微软雅黑"/>
          <w:color w:val="333333"/>
          <w:sz w:val="21"/>
          <w:szCs w:val="21"/>
        </w:rPr>
      </w:pPr>
      <w:r>
        <w:rPr>
          <w:rFonts w:hint="eastAsia" w:ascii="黑体" w:hAnsi="黑体" w:eastAsia="黑体" w:cs="黑体"/>
          <w:bCs/>
          <w:color w:val="000000" w:themeColor="text1"/>
          <w:sz w:val="32"/>
          <w:szCs w:val="32"/>
        </w:rPr>
        <w:t>第二十一条【低风险企业管理措施】</w:t>
      </w:r>
      <w:r>
        <w:rPr>
          <w:rFonts w:hint="eastAsia" w:ascii="仿宋_GB2312" w:eastAsia="仿宋_GB2312"/>
          <w:sz w:val="32"/>
          <w:szCs w:val="32"/>
        </w:rPr>
        <w:t>对于信用风险等级为A+、A类的企业，可逐级降低</w:t>
      </w:r>
      <w:r>
        <w:rPr>
          <w:rFonts w:hint="default" w:ascii="仿宋_GB2312" w:eastAsia="仿宋_GB2312"/>
          <w:sz w:val="32"/>
          <w:szCs w:val="32"/>
          <w:lang w:val="en"/>
        </w:rPr>
        <w:t>“双随机、一公开”</w:t>
      </w:r>
      <w:r>
        <w:rPr>
          <w:rFonts w:hint="eastAsia" w:ascii="仿宋_GB2312" w:eastAsia="仿宋_GB2312"/>
          <w:sz w:val="32"/>
          <w:szCs w:val="32"/>
        </w:rPr>
        <w:t>抽查比例和频次，被抽中的，可以采取书面检查、网络监测等非现场检查措施。除双随机、一公开”抽查、投诉举报、大数据监测、专项检查、案件线索转办交办外，一般不主动实施检查。</w:t>
      </w:r>
    </w:p>
    <w:p>
      <w:pPr>
        <w:pStyle w:val="4"/>
        <w:spacing w:beforeAutospacing="0" w:afterAutospacing="0" w:line="580" w:lineRule="exact"/>
        <w:ind w:firstLine="645"/>
        <w:rPr>
          <w:rFonts w:ascii="仿宋" w:hAnsi="仿宋" w:eastAsia="仿宋"/>
          <w:color w:val="333333"/>
          <w:sz w:val="32"/>
          <w:szCs w:val="32"/>
        </w:rPr>
      </w:pPr>
      <w:r>
        <w:rPr>
          <w:rFonts w:hint="eastAsia" w:ascii="黑体" w:hAnsi="黑体" w:eastAsia="黑体"/>
          <w:color w:val="333333"/>
          <w:sz w:val="32"/>
          <w:szCs w:val="32"/>
        </w:rPr>
        <w:t>第二十二条</w:t>
      </w:r>
      <w:r>
        <w:rPr>
          <w:rFonts w:hint="eastAsia" w:ascii="黑体" w:hAnsi="黑体" w:eastAsia="黑体" w:cs="黑体"/>
          <w:bCs/>
          <w:color w:val="000000" w:themeColor="text1"/>
          <w:sz w:val="32"/>
          <w:szCs w:val="32"/>
        </w:rPr>
        <w:t>【B类企业管理措施】</w:t>
      </w:r>
      <w:r>
        <w:rPr>
          <w:rFonts w:hint="eastAsia" w:ascii="仿宋_GB2312" w:eastAsia="仿宋_GB2312"/>
          <w:sz w:val="32"/>
          <w:szCs w:val="32"/>
        </w:rPr>
        <w:t>对于信用风险等级为B类的企业，按照正常的</w:t>
      </w:r>
      <w:r>
        <w:rPr>
          <w:rFonts w:hint="default" w:ascii="仿宋_GB2312" w:eastAsia="仿宋_GB2312"/>
          <w:sz w:val="32"/>
          <w:szCs w:val="32"/>
          <w:lang w:val="en"/>
        </w:rPr>
        <w:t>“双随机、一公开”</w:t>
      </w:r>
      <w:r>
        <w:rPr>
          <w:rFonts w:hint="eastAsia" w:ascii="仿宋_GB2312" w:eastAsia="仿宋_GB2312"/>
          <w:sz w:val="32"/>
          <w:szCs w:val="32"/>
        </w:rPr>
        <w:t>抽查比例和频次，可以定期开展大数据监测。在开展专项行动或专项整治活动中，应当给予适当关注。</w:t>
      </w:r>
    </w:p>
    <w:p>
      <w:pPr>
        <w:pStyle w:val="4"/>
        <w:spacing w:beforeAutospacing="0" w:afterAutospacing="0" w:line="580" w:lineRule="exact"/>
        <w:ind w:firstLine="645"/>
        <w:rPr>
          <w:rFonts w:ascii="仿宋_GB2312" w:eastAsia="仿宋_GB2312"/>
          <w:sz w:val="32"/>
          <w:szCs w:val="32"/>
        </w:rPr>
      </w:pPr>
      <w:r>
        <w:rPr>
          <w:rFonts w:hint="eastAsia" w:ascii="黑体" w:hAnsi="黑体" w:eastAsia="黑体" w:cs="黑体"/>
          <w:bCs/>
          <w:color w:val="000000" w:themeColor="text1"/>
          <w:sz w:val="32"/>
          <w:szCs w:val="32"/>
        </w:rPr>
        <w:t>第二十三条【高风险企业管理措施】</w:t>
      </w:r>
      <w:r>
        <w:rPr>
          <w:rFonts w:hint="eastAsia" w:ascii="仿宋_GB2312" w:eastAsia="仿宋_GB2312"/>
          <w:sz w:val="32"/>
          <w:szCs w:val="32"/>
        </w:rPr>
        <w:t>对于信用风险等级为C、D类的企业，应当逐级提高</w:t>
      </w:r>
      <w:r>
        <w:rPr>
          <w:rFonts w:hint="default" w:ascii="仿宋_GB2312" w:eastAsia="仿宋_GB2312"/>
          <w:sz w:val="32"/>
          <w:szCs w:val="32"/>
          <w:lang w:val="en"/>
        </w:rPr>
        <w:t>“双随机、一公开”</w:t>
      </w:r>
      <w:r>
        <w:rPr>
          <w:rFonts w:hint="eastAsia" w:ascii="仿宋_GB2312" w:eastAsia="仿宋_GB2312"/>
          <w:sz w:val="32"/>
          <w:szCs w:val="32"/>
        </w:rPr>
        <w:t>抽查比例和频次，被随机抽中的，应当实施现场检查。在开展专项行动或专项整治活动中时列入重点对象，严格进行检查。</w:t>
      </w:r>
    </w:p>
    <w:p>
      <w:pPr>
        <w:pStyle w:val="4"/>
        <w:spacing w:beforeAutospacing="0" w:afterAutospacing="0" w:line="580" w:lineRule="exact"/>
        <w:ind w:firstLine="640" w:firstLineChars="200"/>
        <w:rPr>
          <w:rFonts w:ascii="仿宋_GB2312" w:eastAsia="仿宋_GB2312"/>
          <w:sz w:val="32"/>
          <w:szCs w:val="32"/>
        </w:rPr>
      </w:pPr>
      <w:r>
        <w:rPr>
          <w:rFonts w:hint="eastAsia" w:ascii="黑体" w:hAnsi="黑体" w:eastAsia="黑体" w:cs="黑体"/>
          <w:bCs/>
          <w:color w:val="000000" w:themeColor="text1"/>
          <w:sz w:val="32"/>
          <w:szCs w:val="32"/>
        </w:rPr>
        <w:t xml:space="preserve">第二十四条【审批服务应用】 </w:t>
      </w:r>
      <w:r>
        <w:rPr>
          <w:rFonts w:hint="eastAsia" w:ascii="仿宋_GB2312" w:eastAsia="仿宋_GB2312"/>
          <w:sz w:val="32"/>
          <w:szCs w:val="32"/>
        </w:rPr>
        <w:t>市市场监管部门应当根据企业信用风险等级，实施审批和行政服务</w:t>
      </w:r>
      <w:r>
        <w:rPr>
          <w:rFonts w:ascii="仿宋_GB2312" w:eastAsia="仿宋_GB2312"/>
          <w:sz w:val="32"/>
          <w:szCs w:val="32"/>
        </w:rPr>
        <w:t>便利</w:t>
      </w:r>
      <w:r>
        <w:rPr>
          <w:rFonts w:hint="eastAsia" w:ascii="仿宋_GB2312" w:eastAsia="仿宋_GB2312"/>
          <w:sz w:val="32"/>
          <w:szCs w:val="32"/>
        </w:rPr>
        <w:t>化措施：</w:t>
      </w:r>
    </w:p>
    <w:p>
      <w:pPr>
        <w:pStyle w:val="4"/>
        <w:numPr>
          <w:ilvl w:val="0"/>
          <w:numId w:val="4"/>
        </w:numPr>
        <w:spacing w:beforeAutospacing="0" w:afterAutospacing="0" w:line="580" w:lineRule="exact"/>
        <w:ind w:firstLine="640" w:firstLineChars="200"/>
        <w:rPr>
          <w:rFonts w:ascii="仿宋_GB2312" w:eastAsia="仿宋_GB2312"/>
          <w:sz w:val="32"/>
          <w:szCs w:val="32"/>
        </w:rPr>
      </w:pPr>
      <w:r>
        <w:rPr>
          <w:rFonts w:hint="eastAsia" w:ascii="仿宋_GB2312" w:eastAsia="仿宋_GB2312"/>
          <w:sz w:val="32"/>
          <w:szCs w:val="32"/>
        </w:rPr>
        <w:t>对于信用风险等级为A+、A类的企业，推广应用</w:t>
      </w:r>
      <w:r>
        <w:rPr>
          <w:rFonts w:ascii="仿宋_GB2312" w:eastAsia="仿宋_GB2312"/>
          <w:sz w:val="32"/>
          <w:szCs w:val="32"/>
        </w:rPr>
        <w:t>“绿色通道”和“容缺受理”</w:t>
      </w:r>
      <w:r>
        <w:rPr>
          <w:rFonts w:hint="eastAsia" w:ascii="仿宋_GB2312" w:eastAsia="仿宋_GB2312"/>
          <w:sz w:val="32"/>
          <w:szCs w:val="32"/>
        </w:rPr>
        <w:t>、“秒批”、“告知承诺”，简化环节，缩短办理时间。</w:t>
      </w:r>
    </w:p>
    <w:p>
      <w:pPr>
        <w:pStyle w:val="4"/>
        <w:numPr>
          <w:ilvl w:val="0"/>
          <w:numId w:val="4"/>
        </w:numPr>
        <w:spacing w:beforeAutospacing="0" w:afterAutospacing="0" w:line="580" w:lineRule="exact"/>
        <w:ind w:firstLine="640" w:firstLineChars="200"/>
        <w:rPr>
          <w:rFonts w:ascii="仿宋_GB2312" w:eastAsia="仿宋_GB2312"/>
          <w:sz w:val="32"/>
          <w:szCs w:val="32"/>
        </w:rPr>
      </w:pPr>
      <w:r>
        <w:rPr>
          <w:rFonts w:hint="eastAsia" w:ascii="仿宋_GB2312" w:eastAsia="仿宋_GB2312"/>
          <w:sz w:val="32"/>
          <w:szCs w:val="32"/>
        </w:rPr>
        <w:t>对于信用风险等级为C、D类的企业，不适用于</w:t>
      </w:r>
      <w:r>
        <w:rPr>
          <w:rFonts w:ascii="仿宋_GB2312" w:eastAsia="仿宋_GB2312"/>
          <w:sz w:val="32"/>
          <w:szCs w:val="32"/>
        </w:rPr>
        <w:t>“绿色通道”“容缺受理”</w:t>
      </w:r>
      <w:r>
        <w:rPr>
          <w:rFonts w:hint="eastAsia" w:ascii="仿宋_GB2312" w:eastAsia="仿宋_GB2312"/>
          <w:sz w:val="32"/>
          <w:szCs w:val="32"/>
        </w:rPr>
        <w:t>、“秒批”等便捷方式，不适用“告知承诺”等信用承诺制度。在实施商事登记和行政许可时，可依法依规启动实质性审查。</w:t>
      </w:r>
    </w:p>
    <w:p>
      <w:pPr>
        <w:pStyle w:val="4"/>
        <w:spacing w:beforeAutospacing="0" w:afterAutospacing="0" w:line="580" w:lineRule="exact"/>
        <w:ind w:firstLine="645"/>
        <w:rPr>
          <w:rFonts w:ascii="仿宋_GB2312" w:eastAsia="仿宋_GB2312"/>
          <w:sz w:val="32"/>
          <w:szCs w:val="32"/>
        </w:rPr>
      </w:pPr>
      <w:r>
        <w:rPr>
          <w:rFonts w:hint="eastAsia" w:ascii="黑体" w:hAnsi="黑体" w:eastAsia="黑体" w:cs="黑体"/>
          <w:bCs/>
          <w:color w:val="000000" w:themeColor="text1"/>
          <w:sz w:val="32"/>
          <w:szCs w:val="32"/>
        </w:rPr>
        <w:t xml:space="preserve">第二十五条【E类企业特殊管理】 </w:t>
      </w:r>
      <w:r>
        <w:rPr>
          <w:rFonts w:hint="eastAsia" w:ascii="仿宋_GB2312" w:eastAsia="仿宋_GB2312"/>
          <w:sz w:val="32"/>
          <w:szCs w:val="32"/>
        </w:rPr>
        <w:t>信用风险等级为E类的企业属于非正常经营类别企业，不纳入</w:t>
      </w:r>
      <w:r>
        <w:rPr>
          <w:rFonts w:hint="default" w:ascii="仿宋_GB2312" w:eastAsia="仿宋_GB2312"/>
          <w:sz w:val="32"/>
          <w:szCs w:val="32"/>
          <w:lang w:val="en"/>
        </w:rPr>
        <w:t>“双随机、一公开”</w:t>
      </w:r>
      <w:r>
        <w:rPr>
          <w:rFonts w:hint="eastAsia" w:ascii="仿宋_GB2312" w:eastAsia="仿宋_GB2312"/>
          <w:sz w:val="32"/>
          <w:szCs w:val="32"/>
        </w:rPr>
        <w:t>抽查范围，并依法对相关主体实施登记限制或禁入措施。</w:t>
      </w:r>
    </w:p>
    <w:p>
      <w:pPr>
        <w:pStyle w:val="4"/>
        <w:spacing w:beforeAutospacing="0" w:afterAutospacing="0" w:line="580" w:lineRule="exact"/>
        <w:jc w:val="center"/>
        <w:rPr>
          <w:rFonts w:ascii="黑体" w:hAnsi="黑体" w:eastAsia="黑体" w:cs="黑体"/>
          <w:color w:val="333333"/>
          <w:sz w:val="32"/>
          <w:szCs w:val="32"/>
        </w:rPr>
      </w:pPr>
    </w:p>
    <w:p>
      <w:pPr>
        <w:pStyle w:val="4"/>
        <w:spacing w:beforeAutospacing="0" w:afterAutospacing="0" w:line="58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第五章  信用风险分类管理联动</w:t>
      </w:r>
    </w:p>
    <w:p>
      <w:pPr>
        <w:pStyle w:val="4"/>
        <w:spacing w:beforeAutospacing="0" w:afterAutospacing="0" w:line="580" w:lineRule="exact"/>
        <w:ind w:firstLine="640" w:firstLineChars="200"/>
        <w:rPr>
          <w:rFonts w:ascii="仿宋_GB2312" w:eastAsia="仿宋_GB2312"/>
          <w:sz w:val="32"/>
          <w:szCs w:val="32"/>
        </w:rPr>
      </w:pPr>
      <w:r>
        <w:rPr>
          <w:rFonts w:hint="eastAsia" w:ascii="黑体" w:hAnsi="黑体" w:eastAsia="黑体"/>
          <w:color w:val="333333"/>
          <w:sz w:val="32"/>
          <w:szCs w:val="32"/>
        </w:rPr>
        <w:t>第二十六条</w:t>
      </w:r>
      <w:r>
        <w:rPr>
          <w:rFonts w:hint="eastAsia" w:ascii="黑体" w:hAnsi="黑体" w:eastAsia="黑体" w:cs="黑体"/>
          <w:bCs/>
          <w:color w:val="000000" w:themeColor="text1"/>
          <w:sz w:val="32"/>
          <w:szCs w:val="32"/>
        </w:rPr>
        <w:t>【部门共享】</w:t>
      </w:r>
      <w:r>
        <w:rPr>
          <w:rFonts w:hint="eastAsia" w:ascii="仿宋_GB2312" w:eastAsia="仿宋_GB2312"/>
          <w:sz w:val="32"/>
          <w:szCs w:val="32"/>
        </w:rPr>
        <w:t>企业信用风险等级数据依托全市商事信用与事中事后智慧监管系统,向各政府部门提供数据接口、登录用户等共享方式，在全市</w:t>
      </w:r>
      <w:r>
        <w:rPr>
          <w:rFonts w:hint="default" w:ascii="仿宋_GB2312" w:eastAsia="仿宋_GB2312"/>
          <w:sz w:val="32"/>
          <w:szCs w:val="32"/>
          <w:lang w:val="en"/>
        </w:rPr>
        <w:t>“双随机、一公开”</w:t>
      </w:r>
      <w:r>
        <w:rPr>
          <w:rFonts w:hint="eastAsia" w:ascii="仿宋_GB2312" w:eastAsia="仿宋_GB2312"/>
          <w:sz w:val="32"/>
          <w:szCs w:val="32"/>
        </w:rPr>
        <w:t>监管、日常监管、许可审批、行政服务等业务中应用，并实现应用情况的数据反馈。</w:t>
      </w:r>
    </w:p>
    <w:p>
      <w:pPr>
        <w:pStyle w:val="4"/>
        <w:spacing w:beforeAutospacing="0" w:afterAutospacing="0" w:line="580" w:lineRule="exact"/>
        <w:ind w:firstLine="640" w:firstLineChars="200"/>
        <w:rPr>
          <w:rFonts w:ascii="仿宋_GB2312" w:eastAsia="仿宋_GB2312"/>
          <w:sz w:val="32"/>
          <w:szCs w:val="32"/>
        </w:rPr>
      </w:pPr>
      <w:r>
        <w:rPr>
          <w:rFonts w:hint="eastAsia" w:ascii="黑体" w:hAnsi="黑体" w:eastAsia="黑体"/>
          <w:color w:val="333333"/>
          <w:sz w:val="32"/>
          <w:szCs w:val="32"/>
        </w:rPr>
        <w:t>第二十七条</w:t>
      </w:r>
      <w:r>
        <w:rPr>
          <w:rFonts w:hint="eastAsia" w:ascii="黑体" w:hAnsi="黑体" w:eastAsia="黑体" w:cs="黑体"/>
          <w:bCs/>
          <w:color w:val="000000" w:themeColor="text1"/>
          <w:sz w:val="32"/>
          <w:szCs w:val="32"/>
        </w:rPr>
        <w:t>【管理完善】</w:t>
      </w:r>
      <w:r>
        <w:rPr>
          <w:rFonts w:hint="eastAsia" w:ascii="仿宋_GB2312" w:eastAsia="仿宋_GB2312"/>
          <w:sz w:val="32"/>
          <w:szCs w:val="32"/>
        </w:rPr>
        <w:t>市场监管部门要加强研究和分析企业信用风险分类状况与企业违法违规风险之间的正相关原理，并根据应用反馈情况，不断完善风险指标体系，逐步提升信用风险分类和风险预判的精准度。</w:t>
      </w:r>
    </w:p>
    <w:p>
      <w:pPr>
        <w:pStyle w:val="4"/>
        <w:spacing w:beforeAutospacing="0" w:afterAutospacing="0" w:line="580" w:lineRule="exact"/>
        <w:ind w:firstLine="660"/>
        <w:rPr>
          <w:rFonts w:ascii="仿宋_GB2312" w:eastAsia="仿宋_GB2312"/>
          <w:sz w:val="32"/>
          <w:szCs w:val="32"/>
        </w:rPr>
      </w:pPr>
      <w:r>
        <w:rPr>
          <w:rFonts w:hint="eastAsia" w:ascii="黑体" w:hAnsi="黑体" w:eastAsia="黑体"/>
          <w:color w:val="333333"/>
          <w:sz w:val="32"/>
          <w:szCs w:val="32"/>
        </w:rPr>
        <w:t xml:space="preserve">第二十八条 </w:t>
      </w:r>
      <w:r>
        <w:rPr>
          <w:rFonts w:hint="eastAsia" w:ascii="黑体" w:hAnsi="黑体" w:eastAsia="黑体" w:cs="黑体"/>
          <w:bCs/>
          <w:color w:val="000000" w:themeColor="text1"/>
          <w:sz w:val="32"/>
          <w:szCs w:val="32"/>
        </w:rPr>
        <w:t>【社会共治】</w:t>
      </w:r>
      <w:r>
        <w:rPr>
          <w:rFonts w:hint="eastAsia" w:ascii="仿宋_GB2312" w:eastAsia="仿宋_GB2312"/>
          <w:sz w:val="32"/>
          <w:szCs w:val="32"/>
        </w:rPr>
        <w:t>重视发挥行业协会、新闻媒体、互联网平台、有资质的信用服务机构等第三方机构和信用管理领域专家学者的作用，支持鼓励其参与企业信用风险分类管理，推进社会共治。</w:t>
      </w:r>
    </w:p>
    <w:p>
      <w:pPr>
        <w:pStyle w:val="4"/>
        <w:spacing w:beforeAutospacing="0" w:afterAutospacing="0" w:line="58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第六章  责任追究</w:t>
      </w:r>
    </w:p>
    <w:p>
      <w:pPr>
        <w:pStyle w:val="4"/>
        <w:spacing w:beforeAutospacing="0" w:afterAutospacing="0" w:line="580" w:lineRule="exact"/>
        <w:ind w:firstLine="645"/>
        <w:rPr>
          <w:rFonts w:ascii="仿宋_GB2312" w:eastAsia="仿宋_GB2312"/>
          <w:sz w:val="32"/>
          <w:szCs w:val="32"/>
        </w:rPr>
      </w:pPr>
      <w:r>
        <w:rPr>
          <w:rFonts w:hint="eastAsia" w:ascii="黑体" w:hAnsi="黑体" w:eastAsia="黑体"/>
          <w:color w:val="333333"/>
          <w:sz w:val="32"/>
          <w:szCs w:val="32"/>
        </w:rPr>
        <w:t>第二十九条</w:t>
      </w:r>
      <w:r>
        <w:rPr>
          <w:rFonts w:hint="eastAsia" w:ascii="黑体" w:hAnsi="黑体" w:eastAsia="黑体" w:cs="黑体"/>
          <w:bCs/>
          <w:color w:val="000000" w:themeColor="text1"/>
          <w:sz w:val="32"/>
          <w:szCs w:val="32"/>
        </w:rPr>
        <w:t>【部门及工作人员责任】</w:t>
      </w:r>
      <w:r>
        <w:rPr>
          <w:rFonts w:hint="eastAsia" w:ascii="仿宋_GB2312" w:eastAsia="仿宋_GB2312"/>
          <w:sz w:val="32"/>
          <w:szCs w:val="32"/>
        </w:rPr>
        <w:t>各级市场监管部门及其工作人员，在信用风险分类管理过程中，利用工作之便篡改、虚构、删除、泄露相关信息，情节严重或造成不良后果的，依法追究相关责任。</w:t>
      </w:r>
    </w:p>
    <w:p>
      <w:pPr>
        <w:pStyle w:val="4"/>
        <w:spacing w:beforeAutospacing="0" w:afterAutospacing="0" w:line="580" w:lineRule="exact"/>
        <w:ind w:firstLine="645"/>
        <w:rPr>
          <w:rFonts w:ascii="仿宋_GB2312" w:eastAsia="仿宋_GB2312"/>
          <w:sz w:val="32"/>
          <w:szCs w:val="32"/>
        </w:rPr>
      </w:pPr>
      <w:r>
        <w:rPr>
          <w:rFonts w:hint="eastAsia" w:ascii="黑体" w:hAnsi="黑体" w:eastAsia="黑体"/>
          <w:color w:val="333333"/>
          <w:sz w:val="32"/>
          <w:szCs w:val="32"/>
        </w:rPr>
        <w:t>第三十条</w:t>
      </w:r>
      <w:r>
        <w:rPr>
          <w:rFonts w:hint="eastAsia" w:ascii="黑体" w:hAnsi="黑体" w:eastAsia="黑体" w:cs="黑体"/>
          <w:bCs/>
          <w:color w:val="000000" w:themeColor="text1"/>
          <w:sz w:val="32"/>
          <w:szCs w:val="32"/>
        </w:rPr>
        <w:t>【公民、法人及其他组织责任】</w:t>
      </w:r>
      <w:r>
        <w:rPr>
          <w:rFonts w:hint="eastAsia" w:ascii="仿宋_GB2312" w:eastAsia="仿宋_GB2312"/>
          <w:sz w:val="32"/>
          <w:szCs w:val="32"/>
        </w:rPr>
        <w:t>公民、法人或其他组织以营利为目的非法批量获取企业信用风险分类管理数据，产生不良影响或非法篡改、虚构、删除、泄露相关信息的，依法追究相关责任。</w:t>
      </w:r>
    </w:p>
    <w:p>
      <w:pPr>
        <w:pStyle w:val="4"/>
        <w:spacing w:beforeAutospacing="0" w:afterAutospacing="0" w:line="58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第七章  附  则</w:t>
      </w:r>
    </w:p>
    <w:p>
      <w:pPr>
        <w:pStyle w:val="4"/>
        <w:spacing w:beforeAutospacing="0" w:afterAutospacing="0" w:line="580" w:lineRule="exact"/>
        <w:ind w:firstLine="645"/>
        <w:rPr>
          <w:rFonts w:ascii="微软雅黑" w:hAnsi="微软雅黑" w:eastAsia="微软雅黑"/>
          <w:color w:val="333333"/>
          <w:sz w:val="21"/>
          <w:szCs w:val="21"/>
        </w:rPr>
      </w:pPr>
      <w:r>
        <w:rPr>
          <w:rFonts w:hint="eastAsia" w:ascii="黑体" w:hAnsi="黑体" w:eastAsia="黑体"/>
          <w:color w:val="333333"/>
          <w:sz w:val="32"/>
          <w:szCs w:val="32"/>
        </w:rPr>
        <w:t>第三十一条</w:t>
      </w:r>
      <w:r>
        <w:rPr>
          <w:rFonts w:hint="eastAsia" w:ascii="黑体" w:hAnsi="黑体" w:eastAsia="黑体" w:cs="黑体"/>
          <w:bCs/>
          <w:color w:val="000000" w:themeColor="text1"/>
          <w:sz w:val="32"/>
          <w:szCs w:val="32"/>
        </w:rPr>
        <w:t>【条款解释权】</w:t>
      </w:r>
      <w:r>
        <w:rPr>
          <w:rFonts w:hint="eastAsia" w:ascii="仿宋" w:hAnsi="仿宋" w:eastAsia="仿宋"/>
          <w:color w:val="333333"/>
          <w:sz w:val="32"/>
          <w:szCs w:val="32"/>
        </w:rPr>
        <w:t>本办法由深圳市市场监督管理局负责解释。</w:t>
      </w:r>
    </w:p>
    <w:p>
      <w:pPr>
        <w:pStyle w:val="4"/>
        <w:spacing w:beforeAutospacing="0" w:afterAutospacing="0" w:line="580" w:lineRule="exact"/>
        <w:rPr>
          <w:rFonts w:ascii="微软雅黑" w:hAnsi="微软雅黑" w:eastAsia="微软雅黑"/>
          <w:color w:val="333333"/>
          <w:sz w:val="23"/>
          <w:szCs w:val="23"/>
        </w:rPr>
      </w:pPr>
      <w:r>
        <w:rPr>
          <w:rFonts w:hint="eastAsia"/>
          <w:color w:val="333333"/>
          <w:sz w:val="32"/>
          <w:szCs w:val="32"/>
        </w:rPr>
        <w:t> </w:t>
      </w:r>
      <w:r>
        <w:rPr>
          <w:rFonts w:hint="eastAsia" w:ascii="黑体" w:hAnsi="黑体" w:eastAsia="黑体" w:cs="黑体"/>
          <w:color w:val="333333"/>
          <w:sz w:val="32"/>
          <w:szCs w:val="32"/>
        </w:rPr>
        <w:t xml:space="preserve">  </w:t>
      </w:r>
      <w:r>
        <w:rPr>
          <w:rFonts w:hint="eastAsia" w:ascii="黑体" w:hAnsi="黑体" w:eastAsia="黑体"/>
          <w:color w:val="333333"/>
          <w:sz w:val="32"/>
          <w:szCs w:val="32"/>
        </w:rPr>
        <w:t>第三十二条</w:t>
      </w:r>
      <w:r>
        <w:rPr>
          <w:rFonts w:hint="eastAsia" w:ascii="黑体" w:hAnsi="黑体" w:eastAsia="黑体" w:cs="黑体"/>
          <w:bCs/>
          <w:color w:val="000000" w:themeColor="text1"/>
          <w:sz w:val="32"/>
          <w:szCs w:val="32"/>
        </w:rPr>
        <w:t>【有效期限】</w:t>
      </w:r>
      <w:r>
        <w:rPr>
          <w:rFonts w:hint="eastAsia" w:ascii="仿宋" w:hAnsi="仿宋" w:eastAsia="仿宋"/>
          <w:color w:val="333333"/>
          <w:sz w:val="32"/>
          <w:szCs w:val="32"/>
        </w:rPr>
        <w:t>本办法自2020年 月 日起实施，有效期五年。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楷体_GB2312">
    <w:altName w:val="方正楷体_GBK"/>
    <w:panose1 w:val="02010609030101010101"/>
    <w:charset w:val="86"/>
    <w:family w:val="modern"/>
    <w:pitch w:val="default"/>
    <w:sig w:usb0="00000000" w:usb1="00000000" w:usb2="0000001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ESI仿宋-GB2312">
    <w:panose1 w:val="02000500000000000000"/>
    <w:charset w:val="86"/>
    <w:family w:val="auto"/>
    <w:pitch w:val="default"/>
    <w:sig w:usb0="800002AF" w:usb1="084F6CF8" w:usb2="00000010" w:usb3="00000000" w:csb0="0004000F" w:csb1="00000000"/>
  </w:font>
  <w:font w:name="Standard Symbols PS">
    <w:panose1 w:val="05050102010706020507"/>
    <w:charset w:val="00"/>
    <w:family w:val="auto"/>
    <w:pitch w:val="default"/>
    <w:sig w:usb0="00000003" w:usb1="00000000" w:usb2="00000000" w:usb3="00000000" w:csb0="00000001" w:csb1="00000000"/>
  </w:font>
  <w:font w:name="CESI楷体-GB2312">
    <w:panose1 w:val="02000500000000000000"/>
    <w:charset w:val="86"/>
    <w:family w:val="auto"/>
    <w:pitch w:val="default"/>
    <w:sig w:usb0="800002BF" w:usb1="184F6CF8" w:usb2="00000012" w:usb3="00000000" w:csb0="0004000F" w:csb1="00000000"/>
  </w:font>
  <w:font w:name="CESI黑体-GB2312">
    <w:panose1 w:val="02000500000000000000"/>
    <w:charset w:val="86"/>
    <w:family w:val="auto"/>
    <w:pitch w:val="default"/>
    <w:sig w:usb0="800002BF" w:usb1="184F6CF8" w:usb2="00000012" w:usb3="00000000" w:csb0="0004000F" w:csb1="00000000"/>
  </w:font>
  <w:font w:name="CESI宋体-GB2312">
    <w:panose1 w:val="02000500000000000000"/>
    <w:charset w:val="86"/>
    <w:family w:val="auto"/>
    <w:pitch w:val="default"/>
    <w:sig w:usb0="800002AF" w:usb1="0847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CESI仿宋-GB13000">
    <w:panose1 w:val="02000500000000000000"/>
    <w:charset w:val="86"/>
    <w:family w:val="auto"/>
    <w:pitch w:val="default"/>
    <w:sig w:usb0="800002BF" w:usb1="18CF7CF8" w:usb2="00000016" w:usb3="00000000" w:csb0="0004000F" w:csb1="00000000"/>
  </w:font>
  <w:font w:name="CESI宋体-GB13000">
    <w:panose1 w:val="02000500000000000000"/>
    <w:charset w:val="86"/>
    <w:family w:val="auto"/>
    <w:pitch w:val="default"/>
    <w:sig w:usb0="800002BF" w:usb1="18C77CF8" w:usb2="00000016" w:usb3="00000000" w:csb0="0004000F" w:csb1="00000000"/>
  </w:font>
  <w:font w:name="CESI仿宋-GB18030">
    <w:panose1 w:val="02000500000000000000"/>
    <w:charset w:val="86"/>
    <w:family w:val="auto"/>
    <w:pitch w:val="default"/>
    <w:sig w:usb0="A00002BF" w:usb1="38C7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365BC1"/>
    <w:multiLevelType w:val="singleLevel"/>
    <w:tmpl w:val="86365BC1"/>
    <w:lvl w:ilvl="0" w:tentative="0">
      <w:start w:val="1"/>
      <w:numFmt w:val="chineseCounting"/>
      <w:suff w:val="nothing"/>
      <w:lvlText w:val="（%1）"/>
      <w:lvlJc w:val="left"/>
      <w:rPr>
        <w:rFonts w:hint="eastAsia"/>
      </w:rPr>
    </w:lvl>
  </w:abstractNum>
  <w:abstractNum w:abstractNumId="1">
    <w:nsid w:val="A8165675"/>
    <w:multiLevelType w:val="singleLevel"/>
    <w:tmpl w:val="A8165675"/>
    <w:lvl w:ilvl="0" w:tentative="0">
      <w:start w:val="1"/>
      <w:numFmt w:val="chineseCounting"/>
      <w:suff w:val="nothing"/>
      <w:lvlText w:val="（%1）"/>
      <w:lvlJc w:val="left"/>
      <w:pPr>
        <w:ind w:left="-430"/>
      </w:pPr>
      <w:rPr>
        <w:rFonts w:hint="eastAsia"/>
      </w:rPr>
    </w:lvl>
  </w:abstractNum>
  <w:abstractNum w:abstractNumId="2">
    <w:nsid w:val="FDBFD2BB"/>
    <w:multiLevelType w:val="singleLevel"/>
    <w:tmpl w:val="FDBFD2BB"/>
    <w:lvl w:ilvl="0" w:tentative="0">
      <w:start w:val="1"/>
      <w:numFmt w:val="chineseCounting"/>
      <w:suff w:val="nothing"/>
      <w:lvlText w:val="（%1）"/>
      <w:lvlJc w:val="left"/>
      <w:pPr>
        <w:ind w:left="480" w:firstLine="0"/>
      </w:pPr>
      <w:rPr>
        <w:rFonts w:hint="eastAsia"/>
      </w:rPr>
    </w:lvl>
  </w:abstractNum>
  <w:abstractNum w:abstractNumId="3">
    <w:nsid w:val="5FF80159"/>
    <w:multiLevelType w:val="singleLevel"/>
    <w:tmpl w:val="5FF80159"/>
    <w:lvl w:ilvl="0" w:tentative="0">
      <w:start w:val="2"/>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E112A3"/>
    <w:rsid w:val="000571BB"/>
    <w:rsid w:val="00303D96"/>
    <w:rsid w:val="00320E9F"/>
    <w:rsid w:val="003338B5"/>
    <w:rsid w:val="004B063C"/>
    <w:rsid w:val="005A0238"/>
    <w:rsid w:val="005E6A36"/>
    <w:rsid w:val="00A8069F"/>
    <w:rsid w:val="00EE23CD"/>
    <w:rsid w:val="00F1400B"/>
    <w:rsid w:val="00F857A0"/>
    <w:rsid w:val="07806595"/>
    <w:rsid w:val="25E112A3"/>
    <w:rsid w:val="288851F6"/>
    <w:rsid w:val="2AF70242"/>
    <w:rsid w:val="670F1ACB"/>
    <w:rsid w:val="7FF44632"/>
    <w:rsid w:val="CEDD9F8C"/>
    <w:rsid w:val="D7FAE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641</Words>
  <Characters>3656</Characters>
  <Lines>30</Lines>
  <Paragraphs>8</Paragraphs>
  <TotalTime>36</TotalTime>
  <ScaleCrop>false</ScaleCrop>
  <LinksUpToDate>false</LinksUpToDate>
  <CharactersWithSpaces>4289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2020-12-10T11:13:00Z</dcterms:created>
  <dc:creator>赵歆</dc:creator>
  <cp:lastModifiedBy>谭依敏</cp:lastModifiedBy>
  <dcterms:modified xsi:type="dcterms:W3CDTF">2023-05-24T16:45:44Z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