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198" w:firstLineChars="45"/>
        <w:jc w:val="center"/>
        <w:outlineLvl w:val="0"/>
        <w:rPr>
          <w:rFonts w:hint="eastAsia" w:ascii="方正小标宋简体" w:hAnsi="方正小标宋简体" w:eastAsia="方正小标宋简体" w:cs="方正小标宋简体"/>
          <w:b w:val="0"/>
          <w:bCs/>
          <w:color w:val="auto"/>
          <w:kern w:val="0"/>
          <w:sz w:val="44"/>
          <w:szCs w:val="44"/>
          <w:highlight w:val="none"/>
          <w:shd w:val="clear" w:color="auto" w:fill="auto"/>
        </w:rPr>
      </w:pPr>
      <w:bookmarkStart w:id="1" w:name="_GoBack"/>
      <w:r>
        <w:rPr>
          <w:rFonts w:hint="eastAsia" w:ascii="方正小标宋简体" w:hAnsi="方正小标宋简体" w:eastAsia="方正小标宋简体" w:cs="方正小标宋简体"/>
          <w:b w:val="0"/>
          <w:bCs/>
          <w:color w:val="auto"/>
          <w:kern w:val="0"/>
          <w:sz w:val="44"/>
          <w:szCs w:val="44"/>
          <w:highlight w:val="none"/>
          <w:shd w:val="clear" w:color="auto" w:fill="auto"/>
        </w:rPr>
        <w:t>深圳市市场监督管理局202</w:t>
      </w:r>
      <w:r>
        <w:rPr>
          <w:rFonts w:hint="eastAsia" w:ascii="方正小标宋简体" w:hAnsi="方正小标宋简体" w:eastAsia="方正小标宋简体" w:cs="方正小标宋简体"/>
          <w:b w:val="0"/>
          <w:bCs/>
          <w:color w:val="auto"/>
          <w:kern w:val="0"/>
          <w:sz w:val="44"/>
          <w:szCs w:val="44"/>
          <w:highlight w:val="none"/>
          <w:shd w:val="clear" w:color="auto" w:fill="auto"/>
          <w:lang w:val="en-US" w:eastAsia="zh-CN"/>
        </w:rPr>
        <w:t>3</w:t>
      </w:r>
      <w:r>
        <w:rPr>
          <w:rFonts w:hint="eastAsia" w:ascii="方正小标宋简体" w:hAnsi="方正小标宋简体" w:eastAsia="方正小标宋简体" w:cs="方正小标宋简体"/>
          <w:b w:val="0"/>
          <w:bCs/>
          <w:color w:val="auto"/>
          <w:kern w:val="0"/>
          <w:sz w:val="44"/>
          <w:szCs w:val="44"/>
          <w:highlight w:val="none"/>
          <w:shd w:val="clear" w:color="auto" w:fill="auto"/>
        </w:rPr>
        <w:t>年电梯载荷</w:t>
      </w:r>
    </w:p>
    <w:p>
      <w:pPr>
        <w:spacing w:line="600" w:lineRule="exact"/>
        <w:ind w:firstLine="198" w:firstLineChars="45"/>
        <w:jc w:val="center"/>
        <w:outlineLvl w:val="0"/>
        <w:rPr>
          <w:rFonts w:hint="eastAsia" w:ascii="方正小标宋简体" w:hAnsi="方正小标宋简体" w:eastAsia="方正小标宋简体" w:cs="方正小标宋简体"/>
          <w:b w:val="0"/>
          <w:bCs/>
          <w:color w:val="auto"/>
          <w:kern w:val="0"/>
          <w:sz w:val="44"/>
          <w:szCs w:val="44"/>
          <w:highlight w:val="none"/>
          <w:shd w:val="clear" w:color="auto" w:fill="auto"/>
        </w:rPr>
      </w:pPr>
      <w:r>
        <w:rPr>
          <w:rFonts w:hint="eastAsia" w:ascii="方正小标宋简体" w:hAnsi="方正小标宋简体" w:eastAsia="方正小标宋简体" w:cs="方正小标宋简体"/>
          <w:b w:val="0"/>
          <w:bCs/>
          <w:color w:val="auto"/>
          <w:kern w:val="0"/>
          <w:sz w:val="44"/>
          <w:szCs w:val="44"/>
          <w:highlight w:val="none"/>
          <w:shd w:val="clear" w:color="auto" w:fill="auto"/>
        </w:rPr>
        <w:t>试验监督抽查工作方案</w:t>
      </w:r>
    </w:p>
    <w:bookmarkEnd w:id="1"/>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仿宋_GB2312" w:eastAsia="仿宋_GB2312"/>
          <w:color w:val="auto"/>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为保障全市电梯载荷试验工作质量，进一步落实电梯使用、维保单位主体责任，不断提升电梯安全保障水平。根据《深圳经济特区特种设备安全条例》的规定，市市场监督管理局决定在全市范围内开展电梯载荷试验监督抽查，特制定本工作方案。</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jc w:val="both"/>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监督抽查工作内容</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（一）监督抽查数量</w:t>
      </w:r>
    </w:p>
    <w:p>
      <w:pPr>
        <w:pStyle w:val="5"/>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Ansi="宋体" w:cs="Times New Roman"/>
          <w:color w:val="auto"/>
          <w:highlight w:val="none"/>
          <w:shd w:val="clear" w:color="auto" w:fill="auto"/>
        </w:rPr>
      </w:pPr>
      <w:r>
        <w:rPr>
          <w:rFonts w:hint="eastAsia"/>
          <w:color w:val="auto"/>
          <w:highlight w:val="none"/>
          <w:shd w:val="clear" w:color="auto" w:fill="auto"/>
        </w:rPr>
        <w:t>计划</w:t>
      </w:r>
      <w:r>
        <w:rPr>
          <w:rFonts w:hint="eastAsia" w:hAnsi="宋体" w:cs="Times New Roman"/>
          <w:color w:val="auto"/>
          <w:highlight w:val="none"/>
          <w:shd w:val="clear" w:color="auto" w:fill="auto"/>
        </w:rPr>
        <w:t>抽查</w:t>
      </w:r>
      <w:r>
        <w:rPr>
          <w:rFonts w:hAnsi="宋体" w:cs="Times New Roman"/>
          <w:color w:val="auto"/>
          <w:highlight w:val="none"/>
          <w:shd w:val="clear" w:color="auto" w:fill="auto"/>
        </w:rPr>
        <w:t>1500</w:t>
      </w:r>
      <w:r>
        <w:rPr>
          <w:rFonts w:hint="eastAsia" w:hAnsi="宋体" w:cs="Times New Roman"/>
          <w:color w:val="auto"/>
          <w:highlight w:val="none"/>
          <w:shd w:val="clear" w:color="auto" w:fill="auto"/>
          <w:lang w:eastAsia="zh-CN"/>
        </w:rPr>
        <w:t>台</w:t>
      </w:r>
      <w:r>
        <w:rPr>
          <w:rFonts w:hint="eastAsia" w:hAnsi="宋体" w:cs="Times New Roman"/>
          <w:color w:val="auto"/>
          <w:highlight w:val="none"/>
          <w:shd w:val="clear" w:color="auto" w:fill="auto"/>
        </w:rPr>
        <w:t>电梯，其中曳引式电梯1</w:t>
      </w:r>
      <w:r>
        <w:rPr>
          <w:rFonts w:hAnsi="宋体" w:cs="Times New Roman"/>
          <w:color w:val="auto"/>
          <w:highlight w:val="none"/>
          <w:shd w:val="clear" w:color="auto" w:fill="auto"/>
        </w:rPr>
        <w:t>2</w:t>
      </w:r>
      <w:r>
        <w:rPr>
          <w:rFonts w:hint="eastAsia" w:hAnsi="宋体" w:cs="Times New Roman"/>
          <w:color w:val="auto"/>
          <w:highlight w:val="none"/>
          <w:shd w:val="clear" w:color="auto" w:fill="auto"/>
        </w:rPr>
        <w:t>00台，自动扶梯300台。</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（二）监督抽查项目</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见附件1。</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（三）监督抽查合格结论判定规则</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bookmarkStart w:id="0" w:name="_Hlk508354911"/>
      <w:r>
        <w:rPr>
          <w:rFonts w:hint="eastAsia" w:ascii="仿宋_GB2312" w:eastAsia="仿宋_GB2312"/>
          <w:color w:val="auto"/>
          <w:sz w:val="32"/>
          <w:szCs w:val="36"/>
          <w:highlight w:val="none"/>
          <w:shd w:val="clear" w:color="auto" w:fill="auto"/>
        </w:rPr>
        <w:t>监督抽查项目全部合格，判定为本次监督抽查合格</w:t>
      </w:r>
      <w:r>
        <w:rPr>
          <w:rFonts w:hint="eastAsia" w:ascii="仿宋_GB2312" w:eastAsia="仿宋_GB2312"/>
          <w:color w:val="auto"/>
          <w:sz w:val="32"/>
          <w:szCs w:val="32"/>
          <w:highlight w:val="none"/>
          <w:shd w:val="clear" w:color="auto" w:fill="auto"/>
        </w:rPr>
        <w:t>。</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二、监督抽查抽样</w:t>
      </w:r>
    </w:p>
    <w:p>
      <w:pPr>
        <w:pStyle w:val="5"/>
        <w:keepNext w:val="0"/>
        <w:keepLines w:val="0"/>
        <w:pageBreakBefore w:val="0"/>
        <w:widowControl w:val="0"/>
        <w:kinsoku/>
        <w:wordWrap/>
        <w:overflowPunct/>
        <w:topLinePunct w:val="0"/>
        <w:autoSpaceDE/>
        <w:autoSpaceDN/>
        <w:bidi w:val="0"/>
        <w:adjustRightInd/>
        <w:snapToGrid/>
        <w:spacing w:line="560" w:lineRule="exact"/>
        <w:ind w:left="640" w:firstLine="0"/>
        <w:jc w:val="both"/>
        <w:textAlignment w:val="auto"/>
        <w:rPr>
          <w:rFonts w:ascii="仿宋" w:hAnsi="仿宋" w:eastAsia="楷体_GB2312"/>
          <w:b/>
          <w:color w:val="auto"/>
          <w:szCs w:val="22"/>
          <w:highlight w:val="none"/>
          <w:shd w:val="clear" w:color="auto" w:fill="auto"/>
        </w:rPr>
      </w:pPr>
      <w:r>
        <w:rPr>
          <w:rFonts w:hint="eastAsia" w:ascii="仿宋" w:hAnsi="仿宋" w:eastAsia="楷体_GB2312"/>
          <w:b/>
          <w:color w:val="auto"/>
          <w:szCs w:val="22"/>
          <w:highlight w:val="none"/>
          <w:shd w:val="clear" w:color="auto" w:fill="auto"/>
        </w:rPr>
        <w:t>（一</w:t>
      </w:r>
      <w:r>
        <w:rPr>
          <w:rFonts w:ascii="仿宋" w:hAnsi="仿宋" w:eastAsia="楷体_GB2312"/>
          <w:b/>
          <w:color w:val="auto"/>
          <w:szCs w:val="22"/>
          <w:highlight w:val="none"/>
          <w:shd w:val="clear" w:color="auto" w:fill="auto"/>
        </w:rPr>
        <w:t>）</w:t>
      </w:r>
      <w:r>
        <w:rPr>
          <w:rFonts w:hint="eastAsia" w:ascii="仿宋" w:hAnsi="仿宋" w:eastAsia="楷体_GB2312"/>
          <w:b/>
          <w:color w:val="auto"/>
          <w:szCs w:val="22"/>
          <w:highlight w:val="none"/>
          <w:shd w:val="clear" w:color="auto" w:fill="auto"/>
        </w:rPr>
        <w:t>抽样范围</w:t>
      </w:r>
    </w:p>
    <w:p>
      <w:pPr>
        <w:pStyle w:val="5"/>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Ansi="宋体" w:cs="Times New Roman"/>
          <w:color w:val="auto"/>
          <w:highlight w:val="none"/>
          <w:shd w:val="clear" w:color="auto" w:fill="auto"/>
        </w:rPr>
      </w:pPr>
      <w:r>
        <w:rPr>
          <w:rFonts w:hint="eastAsia" w:hAnsi="宋体" w:cs="Times New Roman"/>
          <w:color w:val="auto"/>
          <w:highlight w:val="none"/>
          <w:shd w:val="clear" w:color="auto" w:fill="auto"/>
        </w:rPr>
        <w:t>1.以</w:t>
      </w:r>
      <w:r>
        <w:rPr>
          <w:rFonts w:hAnsi="宋体" w:cs="Times New Roman"/>
          <w:color w:val="auto"/>
          <w:highlight w:val="none"/>
          <w:shd w:val="clear" w:color="auto" w:fill="auto"/>
        </w:rPr>
        <w:t>202</w:t>
      </w:r>
      <w:r>
        <w:rPr>
          <w:rFonts w:hint="eastAsia" w:hAnsi="宋体" w:cs="Times New Roman"/>
          <w:color w:val="auto"/>
          <w:highlight w:val="none"/>
          <w:shd w:val="clear" w:color="auto" w:fill="auto"/>
          <w:lang w:val="en-US" w:eastAsia="zh-CN"/>
        </w:rPr>
        <w:t>2</w:t>
      </w:r>
      <w:r>
        <w:rPr>
          <w:rFonts w:hint="eastAsia" w:hAnsi="宋体" w:cs="Times New Roman"/>
          <w:color w:val="auto"/>
          <w:highlight w:val="none"/>
          <w:shd w:val="clear" w:color="auto" w:fill="auto"/>
        </w:rPr>
        <w:t>年5月1日至202</w:t>
      </w:r>
      <w:r>
        <w:rPr>
          <w:rFonts w:hint="eastAsia" w:hAnsi="宋体" w:cs="Times New Roman"/>
          <w:color w:val="auto"/>
          <w:highlight w:val="none"/>
          <w:shd w:val="clear" w:color="auto" w:fill="auto"/>
          <w:lang w:val="en-US" w:eastAsia="zh-CN"/>
        </w:rPr>
        <w:t>3</w:t>
      </w:r>
      <w:r>
        <w:rPr>
          <w:rFonts w:hint="eastAsia" w:hAnsi="宋体" w:cs="Times New Roman"/>
          <w:color w:val="auto"/>
          <w:highlight w:val="none"/>
          <w:shd w:val="clear" w:color="auto" w:fill="auto"/>
        </w:rPr>
        <w:t>年4月30日载荷试验合格的电梯为监督抽查范围。</w:t>
      </w:r>
    </w:p>
    <w:p>
      <w:pPr>
        <w:pStyle w:val="5"/>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Ansi="宋体" w:cs="Times New Roman"/>
          <w:color w:val="auto"/>
          <w:highlight w:val="none"/>
          <w:shd w:val="clear" w:color="auto" w:fill="auto"/>
        </w:rPr>
      </w:pPr>
      <w:r>
        <w:rPr>
          <w:rFonts w:hAnsi="宋体" w:cs="Times New Roman"/>
          <w:color w:val="auto"/>
          <w:highlight w:val="none"/>
          <w:shd w:val="clear" w:color="auto" w:fill="auto"/>
        </w:rPr>
        <w:t>2.</w:t>
      </w:r>
      <w:r>
        <w:rPr>
          <w:rFonts w:hint="eastAsia" w:hAnsi="宋体" w:cs="Times New Roman"/>
          <w:color w:val="auto"/>
          <w:highlight w:val="none"/>
          <w:shd w:val="clear" w:color="auto" w:fill="auto"/>
        </w:rPr>
        <w:t>以涉及公共安全投入使用时间5年以上的乘客电梯、自动扶梯为主。</w:t>
      </w:r>
    </w:p>
    <w:p>
      <w:pPr>
        <w:pStyle w:val="5"/>
        <w:keepNext w:val="0"/>
        <w:keepLines w:val="0"/>
        <w:pageBreakBefore w:val="0"/>
        <w:widowControl w:val="0"/>
        <w:kinsoku/>
        <w:wordWrap/>
        <w:overflowPunct/>
        <w:topLinePunct w:val="0"/>
        <w:autoSpaceDE/>
        <w:autoSpaceDN/>
        <w:bidi w:val="0"/>
        <w:adjustRightInd/>
        <w:snapToGrid/>
        <w:spacing w:line="560" w:lineRule="exact"/>
        <w:ind w:firstLineChars="200"/>
        <w:jc w:val="both"/>
        <w:textAlignment w:val="auto"/>
        <w:rPr>
          <w:rFonts w:hAnsi="宋体" w:cs="Times New Roman"/>
          <w:color w:val="auto"/>
          <w:highlight w:val="none"/>
          <w:shd w:val="clear" w:color="auto" w:fill="auto"/>
        </w:rPr>
      </w:pPr>
      <w:r>
        <w:rPr>
          <w:rFonts w:hAnsi="宋体" w:cs="Times New Roman"/>
          <w:color w:val="auto"/>
          <w:highlight w:val="none"/>
          <w:shd w:val="clear" w:color="auto" w:fill="auto"/>
        </w:rPr>
        <w:t>3.</w:t>
      </w:r>
      <w:r>
        <w:rPr>
          <w:rFonts w:hint="eastAsia" w:hAnsi="宋体"/>
          <w:color w:val="auto"/>
          <w:highlight w:val="none"/>
          <w:shd w:val="clear" w:color="auto" w:fill="auto"/>
        </w:rPr>
        <w:t>按公众聚集场所（车站、口岸、客运码头、商场、学校、医院、公园、地铁、机场、</w:t>
      </w:r>
      <w:r>
        <w:rPr>
          <w:rFonts w:hint="eastAsia" w:hAnsi="宋体"/>
          <w:color w:val="auto"/>
          <w:highlight w:val="none"/>
          <w:shd w:val="clear" w:color="auto" w:fill="auto"/>
          <w:lang w:val="en-US" w:eastAsia="zh-CN"/>
        </w:rPr>
        <w:t>文体娱乐场馆</w:t>
      </w:r>
      <w:r>
        <w:rPr>
          <w:rFonts w:hint="eastAsia" w:hAnsi="宋体"/>
          <w:color w:val="auto"/>
          <w:highlight w:val="none"/>
          <w:shd w:val="clear" w:color="auto" w:fill="auto"/>
        </w:rPr>
        <w:t>、</w:t>
      </w:r>
      <w:r>
        <w:rPr>
          <w:rFonts w:hint="eastAsia" w:hAnsi="宋体"/>
          <w:color w:val="auto"/>
          <w:highlight w:val="none"/>
          <w:shd w:val="clear" w:color="auto" w:fill="auto"/>
          <w:lang w:val="en-US" w:eastAsia="zh-CN"/>
        </w:rPr>
        <w:t>酒店</w:t>
      </w:r>
      <w:r>
        <w:rPr>
          <w:rFonts w:hint="eastAsia" w:hAnsi="宋体"/>
          <w:color w:val="auto"/>
          <w:highlight w:val="none"/>
          <w:shd w:val="clear" w:color="auto" w:fill="auto"/>
        </w:rPr>
        <w:t>）、住宅小区、</w:t>
      </w:r>
      <w:r>
        <w:rPr>
          <w:rFonts w:hint="eastAsia" w:hAnsi="宋体"/>
          <w:color w:val="auto"/>
          <w:highlight w:val="none"/>
          <w:shd w:val="clear" w:color="auto" w:fill="auto"/>
          <w:lang w:val="en-US" w:eastAsia="zh-CN"/>
        </w:rPr>
        <w:t>办公商业楼</w:t>
      </w:r>
      <w:r>
        <w:rPr>
          <w:rFonts w:hint="eastAsia" w:hAnsi="宋体"/>
          <w:color w:val="auto"/>
          <w:highlight w:val="none"/>
          <w:shd w:val="clear" w:color="auto" w:fill="auto"/>
        </w:rPr>
        <w:t>、</w:t>
      </w:r>
      <w:r>
        <w:rPr>
          <w:rFonts w:hint="eastAsia" w:hAnsi="宋体"/>
          <w:color w:val="auto"/>
          <w:highlight w:val="none"/>
          <w:shd w:val="clear" w:color="auto" w:fill="auto"/>
          <w:lang w:val="en-US" w:eastAsia="zh-CN"/>
        </w:rPr>
        <w:t>工业厂房</w:t>
      </w:r>
      <w:r>
        <w:rPr>
          <w:rFonts w:hint="eastAsia" w:hAnsi="宋体"/>
          <w:color w:val="auto"/>
          <w:highlight w:val="none"/>
          <w:shd w:val="clear" w:color="auto" w:fill="auto"/>
        </w:rPr>
        <w:t>、其它场所顺序抽样。</w:t>
      </w:r>
    </w:p>
    <w:p>
      <w:pPr>
        <w:pStyle w:val="5"/>
        <w:keepNext w:val="0"/>
        <w:keepLines w:val="0"/>
        <w:pageBreakBefore w:val="0"/>
        <w:widowControl w:val="0"/>
        <w:kinsoku/>
        <w:wordWrap/>
        <w:overflowPunct/>
        <w:topLinePunct w:val="0"/>
        <w:autoSpaceDE/>
        <w:autoSpaceDN/>
        <w:bidi w:val="0"/>
        <w:adjustRightInd/>
        <w:snapToGrid/>
        <w:spacing w:line="560" w:lineRule="exact"/>
        <w:ind w:left="640" w:firstLine="0"/>
        <w:jc w:val="both"/>
        <w:textAlignment w:val="auto"/>
        <w:rPr>
          <w:rFonts w:ascii="仿宋" w:hAnsi="仿宋" w:eastAsia="楷体_GB2312"/>
          <w:b/>
          <w:color w:val="auto"/>
          <w:szCs w:val="22"/>
          <w:highlight w:val="none"/>
          <w:shd w:val="clear" w:color="auto" w:fill="auto"/>
        </w:rPr>
      </w:pPr>
      <w:r>
        <w:rPr>
          <w:rFonts w:hint="eastAsia" w:ascii="仿宋" w:hAnsi="仿宋" w:eastAsia="楷体_GB2312"/>
          <w:b/>
          <w:color w:val="auto"/>
          <w:szCs w:val="22"/>
          <w:highlight w:val="none"/>
          <w:shd w:val="clear" w:color="auto" w:fill="auto"/>
        </w:rPr>
        <w:t>（二</w:t>
      </w:r>
      <w:r>
        <w:rPr>
          <w:rFonts w:ascii="仿宋" w:hAnsi="仿宋" w:eastAsia="楷体_GB2312"/>
          <w:b/>
          <w:color w:val="auto"/>
          <w:szCs w:val="22"/>
          <w:highlight w:val="none"/>
          <w:shd w:val="clear" w:color="auto" w:fill="auto"/>
        </w:rPr>
        <w:t>）</w:t>
      </w:r>
      <w:r>
        <w:rPr>
          <w:rFonts w:hint="eastAsia" w:ascii="仿宋" w:hAnsi="仿宋" w:eastAsia="楷体_GB2312"/>
          <w:b/>
          <w:color w:val="auto"/>
          <w:szCs w:val="22"/>
          <w:highlight w:val="none"/>
          <w:shd w:val="clear" w:color="auto" w:fill="auto"/>
        </w:rPr>
        <w:t>抽样要</w:t>
      </w:r>
      <w:r>
        <w:rPr>
          <w:rFonts w:ascii="仿宋" w:hAnsi="仿宋" w:eastAsia="楷体_GB2312"/>
          <w:b/>
          <w:color w:val="auto"/>
          <w:szCs w:val="22"/>
          <w:highlight w:val="none"/>
          <w:shd w:val="clear" w:color="auto" w:fill="auto"/>
        </w:rPr>
        <w:t>求</w:t>
      </w:r>
    </w:p>
    <w:p>
      <w:pPr>
        <w:pStyle w:val="5"/>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Ansi="宋体" w:cs="Times New Roman"/>
          <w:color w:val="auto"/>
          <w:highlight w:val="none"/>
          <w:shd w:val="clear" w:color="auto" w:fill="auto"/>
        </w:rPr>
      </w:pPr>
      <w:r>
        <w:rPr>
          <w:rFonts w:hint="eastAsia" w:hAnsi="宋体" w:cs="Times New Roman"/>
          <w:color w:val="auto"/>
          <w:highlight w:val="none"/>
          <w:shd w:val="clear" w:color="auto" w:fill="auto"/>
        </w:rPr>
        <w:t>每个维保单位至少抽查1台电梯，剩余部分按比例分配到各维保单位。</w:t>
      </w:r>
    </w:p>
    <w:p>
      <w:pPr>
        <w:pStyle w:val="5"/>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Ansi="宋体" w:cs="Times New Roman"/>
          <w:color w:val="auto"/>
          <w:highlight w:val="none"/>
          <w:shd w:val="clear" w:color="auto" w:fill="auto"/>
        </w:rPr>
      </w:pPr>
      <w:r>
        <w:rPr>
          <w:rFonts w:hint="eastAsia" w:hAnsi="宋体" w:cs="Times New Roman"/>
          <w:color w:val="auto"/>
          <w:highlight w:val="none"/>
          <w:shd w:val="clear" w:color="auto" w:fill="auto"/>
        </w:rPr>
        <w:t>对于经抽查不合格且原实施试验的维保单位与当前维保单位不一致的，每发现一台则对原实施试验维保单位</w:t>
      </w:r>
      <w:r>
        <w:rPr>
          <w:rFonts w:hint="eastAsia" w:hAnsi="宋体" w:cs="Times New Roman"/>
          <w:color w:val="auto"/>
          <w:highlight w:val="none"/>
          <w:shd w:val="clear" w:color="auto" w:fill="auto"/>
          <w:lang w:eastAsia="zh-CN"/>
        </w:rPr>
        <w:t>、当前维保单位以及原实施试验时使用单位各</w:t>
      </w:r>
      <w:r>
        <w:rPr>
          <w:rFonts w:hint="eastAsia" w:hAnsi="宋体" w:cs="Times New Roman"/>
          <w:color w:val="auto"/>
          <w:highlight w:val="none"/>
          <w:shd w:val="clear" w:color="auto" w:fill="auto"/>
        </w:rPr>
        <w:t>加抽一台。</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监督抽查抽样工作由市市场监管局特设处负责</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lang w:val="en-US" w:eastAsia="zh-CN"/>
        </w:rPr>
        <w:t>特设处可根据实际情况适时调整抽样原则</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left="640"/>
        <w:jc w:val="both"/>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三、监督抽查现场检验</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（一）监督抽查任务告知</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ascii="仿宋_GB2312" w:eastAsia="仿宋_GB2312"/>
          <w:color w:val="FF0000"/>
          <w:sz w:val="32"/>
          <w:szCs w:val="32"/>
          <w:highlight w:val="none"/>
          <w:shd w:val="clear" w:color="auto" w:fill="auto"/>
        </w:rPr>
      </w:pPr>
      <w:r>
        <w:rPr>
          <w:rFonts w:hint="eastAsia" w:ascii="仿宋_GB2312" w:eastAsia="仿宋_GB2312"/>
          <w:color w:val="auto"/>
          <w:sz w:val="32"/>
          <w:szCs w:val="32"/>
          <w:highlight w:val="none"/>
          <w:shd w:val="clear" w:color="auto" w:fill="auto"/>
        </w:rPr>
        <w:t>拟实施监督抽查时，监督抽查检验机构应提前一天告知被抽查单位抽查时间及相关工作依据、程序、要求。抽查电梯具体编号，使用单位，安装地址等信息在实施检验当天方可告知被抽查单位。现场抽查</w:t>
      </w:r>
      <w:r>
        <w:rPr>
          <w:rFonts w:ascii="仿宋_GB2312" w:eastAsia="仿宋_GB2312"/>
          <w:color w:val="auto"/>
          <w:sz w:val="32"/>
          <w:szCs w:val="32"/>
          <w:highlight w:val="none"/>
          <w:shd w:val="clear" w:color="auto" w:fill="auto"/>
        </w:rPr>
        <w:t>时，</w:t>
      </w:r>
      <w:r>
        <w:rPr>
          <w:rFonts w:hint="eastAsia" w:ascii="仿宋_GB2312" w:eastAsia="仿宋_GB2312"/>
          <w:color w:val="auto"/>
          <w:sz w:val="32"/>
          <w:szCs w:val="32"/>
          <w:highlight w:val="none"/>
          <w:shd w:val="clear" w:color="auto" w:fill="auto"/>
        </w:rPr>
        <w:t>监督抽查检验机构应出具《深圳市电梯载荷试验监督抽查通知单》（下称《抽查通知单》，附件2）</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《抽查通知单》应载明抽查结果将向社会公示。《抽查通知单》由</w:t>
      </w:r>
      <w:r>
        <w:rPr>
          <w:rFonts w:ascii="仿宋_GB2312" w:eastAsia="仿宋_GB2312"/>
          <w:color w:val="auto"/>
          <w:sz w:val="32"/>
          <w:szCs w:val="32"/>
          <w:highlight w:val="none"/>
          <w:shd w:val="clear" w:color="auto" w:fill="auto"/>
        </w:rPr>
        <w:t>被抽查</w:t>
      </w:r>
      <w:r>
        <w:rPr>
          <w:rFonts w:hint="eastAsia" w:ascii="仿宋_GB2312" w:eastAsia="仿宋_GB2312"/>
          <w:color w:val="auto"/>
          <w:sz w:val="32"/>
          <w:szCs w:val="32"/>
          <w:highlight w:val="none"/>
          <w:shd w:val="clear" w:color="auto" w:fill="auto"/>
        </w:rPr>
        <w:t>单位</w:t>
      </w:r>
      <w:r>
        <w:rPr>
          <w:rFonts w:ascii="仿宋_GB2312" w:eastAsia="仿宋_GB2312"/>
          <w:color w:val="auto"/>
          <w:sz w:val="32"/>
          <w:szCs w:val="32"/>
          <w:highlight w:val="none"/>
          <w:shd w:val="clear" w:color="auto" w:fill="auto"/>
        </w:rPr>
        <w:t>法定代表人或其书面授权人签收，</w:t>
      </w:r>
      <w:r>
        <w:rPr>
          <w:rFonts w:hint="eastAsia" w:ascii="仿宋_GB2312" w:eastAsia="仿宋_GB2312"/>
          <w:color w:val="auto"/>
          <w:sz w:val="32"/>
          <w:szCs w:val="32"/>
          <w:highlight w:val="none"/>
          <w:shd w:val="clear" w:color="auto" w:fill="auto"/>
        </w:rPr>
        <w:t>同时</w:t>
      </w:r>
      <w:r>
        <w:rPr>
          <w:rFonts w:hint="eastAsia" w:ascii="仿宋_GB2312" w:eastAsia="仿宋_GB2312"/>
          <w:color w:val="auto"/>
          <w:sz w:val="32"/>
          <w:szCs w:val="32"/>
          <w:highlight w:val="none"/>
          <w:shd w:val="clear" w:color="auto" w:fill="auto"/>
          <w:lang w:eastAsia="zh-CN"/>
        </w:rPr>
        <w:t>由被查单位</w:t>
      </w:r>
      <w:r>
        <w:rPr>
          <w:rFonts w:hint="eastAsia" w:ascii="仿宋_GB2312" w:eastAsia="仿宋_GB2312"/>
          <w:color w:val="auto"/>
          <w:sz w:val="32"/>
          <w:szCs w:val="32"/>
          <w:highlight w:val="none"/>
          <w:shd w:val="clear" w:color="auto" w:fill="auto"/>
        </w:rPr>
        <w:t>抄送使用单位。</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（二）现场检验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监督抽查检验机构实施现场检验时</w:t>
      </w:r>
      <w:r>
        <w:rPr>
          <w:rFonts w:hint="eastAsia" w:ascii="仿宋_GB2312" w:eastAsia="仿宋_GB2312"/>
          <w:color w:val="auto"/>
          <w:sz w:val="32"/>
          <w:szCs w:val="32"/>
          <w:highlight w:val="none"/>
          <w:shd w:val="clear" w:color="auto" w:fill="auto"/>
          <w:lang w:eastAsia="zh-CN"/>
        </w:rPr>
        <w:t>，</w:t>
      </w:r>
      <w:r>
        <w:rPr>
          <w:rFonts w:hint="eastAsia" w:ascii="仿宋_GB2312" w:eastAsia="仿宋_GB2312"/>
          <w:color w:val="auto"/>
          <w:sz w:val="32"/>
          <w:szCs w:val="32"/>
          <w:highlight w:val="none"/>
          <w:shd w:val="clear" w:color="auto" w:fill="auto"/>
        </w:rPr>
        <w:t>被抽查单位法定代表人或其书面授权人</w:t>
      </w:r>
      <w:r>
        <w:rPr>
          <w:rFonts w:hint="eastAsia" w:ascii="仿宋_GB2312" w:eastAsia="仿宋_GB2312"/>
          <w:color w:val="auto"/>
          <w:sz w:val="32"/>
          <w:szCs w:val="32"/>
          <w:highlight w:val="none"/>
          <w:shd w:val="clear" w:color="auto" w:fill="auto"/>
          <w:lang w:eastAsia="zh-CN"/>
        </w:rPr>
        <w:t>应</w:t>
      </w:r>
      <w:r>
        <w:rPr>
          <w:rFonts w:hint="eastAsia" w:ascii="仿宋_GB2312" w:eastAsia="仿宋_GB2312"/>
          <w:color w:val="auto"/>
          <w:sz w:val="32"/>
          <w:szCs w:val="32"/>
          <w:highlight w:val="none"/>
          <w:shd w:val="clear" w:color="auto" w:fill="auto"/>
        </w:rPr>
        <w:t>陪同（下称“陪检人员”）</w:t>
      </w:r>
      <w:r>
        <w:rPr>
          <w:rFonts w:hint="eastAsia" w:ascii="仿宋_GB2312" w:eastAsia="仿宋_GB2312"/>
          <w:color w:val="auto"/>
          <w:sz w:val="32"/>
          <w:szCs w:val="32"/>
          <w:highlight w:val="none"/>
          <w:shd w:val="clear" w:color="auto" w:fill="auto"/>
          <w:lang w:eastAsia="zh-CN"/>
        </w:rPr>
        <w:t>，并安排持证作业人员配合检验</w:t>
      </w:r>
      <w:r>
        <w:rPr>
          <w:rFonts w:hint="eastAsia" w:ascii="仿宋_GB2312" w:eastAsia="仿宋_GB2312"/>
          <w:color w:val="auto"/>
          <w:sz w:val="32"/>
          <w:szCs w:val="32"/>
          <w:highlight w:val="none"/>
          <w:shd w:val="clear" w:color="auto" w:fill="auto"/>
        </w:rPr>
        <w:t>。必要时，辖区局可派人对工作现场进行监督并协调解决工作中存在的困难或问题。使用</w:t>
      </w:r>
      <w:r>
        <w:rPr>
          <w:rFonts w:ascii="仿宋_GB2312" w:eastAsia="仿宋_GB2312"/>
          <w:color w:val="auto"/>
          <w:sz w:val="32"/>
          <w:szCs w:val="32"/>
          <w:highlight w:val="none"/>
          <w:shd w:val="clear" w:color="auto" w:fill="auto"/>
        </w:rPr>
        <w:t>单位或维保单位拒绝监督抽查</w:t>
      </w:r>
      <w:r>
        <w:rPr>
          <w:rFonts w:hint="eastAsia"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lang w:eastAsia="zh-CN"/>
        </w:rPr>
        <w:t>或未安排持证作业人员配合现场检验，</w:t>
      </w:r>
      <w:r>
        <w:rPr>
          <w:rFonts w:ascii="仿宋_GB2312" w:eastAsia="仿宋_GB2312"/>
          <w:color w:val="auto"/>
          <w:sz w:val="32"/>
          <w:szCs w:val="32"/>
          <w:highlight w:val="none"/>
          <w:shd w:val="clear" w:color="auto" w:fill="auto"/>
        </w:rPr>
        <w:t>或不当</w:t>
      </w:r>
      <w:r>
        <w:rPr>
          <w:rFonts w:hint="eastAsia" w:ascii="仿宋_GB2312" w:eastAsia="仿宋_GB2312"/>
          <w:color w:val="auto"/>
          <w:sz w:val="32"/>
          <w:szCs w:val="32"/>
          <w:highlight w:val="none"/>
          <w:shd w:val="clear" w:color="auto" w:fill="auto"/>
        </w:rPr>
        <w:t>场</w:t>
      </w:r>
      <w:r>
        <w:rPr>
          <w:rFonts w:ascii="仿宋_GB2312" w:eastAsia="仿宋_GB2312"/>
          <w:color w:val="auto"/>
          <w:sz w:val="32"/>
          <w:szCs w:val="32"/>
          <w:highlight w:val="none"/>
          <w:shd w:val="clear" w:color="auto" w:fill="auto"/>
        </w:rPr>
        <w:t>申诉但又拒绝签收《</w:t>
      </w:r>
      <w:r>
        <w:rPr>
          <w:rFonts w:hint="eastAsia" w:ascii="仿宋_GB2312" w:eastAsia="仿宋_GB2312"/>
          <w:color w:val="auto"/>
          <w:sz w:val="32"/>
          <w:szCs w:val="32"/>
          <w:highlight w:val="none"/>
          <w:shd w:val="clear" w:color="auto" w:fill="auto"/>
        </w:rPr>
        <w:t>抽查通知</w:t>
      </w:r>
      <w:r>
        <w:rPr>
          <w:rFonts w:ascii="仿宋_GB2312" w:eastAsia="仿宋_GB2312"/>
          <w:color w:val="auto"/>
          <w:sz w:val="32"/>
          <w:szCs w:val="32"/>
          <w:highlight w:val="none"/>
          <w:shd w:val="clear" w:color="auto" w:fill="auto"/>
        </w:rPr>
        <w:t>书》</w:t>
      </w:r>
      <w:r>
        <w:rPr>
          <w:rFonts w:hint="eastAsia" w:ascii="仿宋_GB2312" w:eastAsia="仿宋_GB2312"/>
          <w:color w:val="auto"/>
          <w:sz w:val="32"/>
          <w:szCs w:val="32"/>
          <w:highlight w:val="none"/>
          <w:shd w:val="clear" w:color="auto" w:fill="auto"/>
        </w:rPr>
        <w:t>的</w:t>
      </w:r>
      <w:r>
        <w:rPr>
          <w:rFonts w:ascii="仿宋_GB2312" w:eastAsia="仿宋_GB2312"/>
          <w:color w:val="auto"/>
          <w:sz w:val="32"/>
          <w:szCs w:val="32"/>
          <w:highlight w:val="none"/>
          <w:shd w:val="clear" w:color="auto" w:fill="auto"/>
        </w:rPr>
        <w:t>，由</w:t>
      </w:r>
      <w:r>
        <w:rPr>
          <w:rFonts w:hint="eastAsia" w:ascii="仿宋_GB2312" w:eastAsia="仿宋_GB2312"/>
          <w:color w:val="auto"/>
          <w:sz w:val="32"/>
          <w:szCs w:val="32"/>
          <w:highlight w:val="none"/>
          <w:shd w:val="clear" w:color="auto" w:fill="auto"/>
        </w:rPr>
        <w:t>监督抽查检验机构</w:t>
      </w:r>
      <w:r>
        <w:rPr>
          <w:rFonts w:ascii="仿宋_GB2312" w:eastAsia="仿宋_GB2312"/>
          <w:color w:val="auto"/>
          <w:sz w:val="32"/>
          <w:szCs w:val="32"/>
          <w:highlight w:val="none"/>
          <w:shd w:val="clear" w:color="auto" w:fill="auto"/>
        </w:rPr>
        <w:t>联系辖</w:t>
      </w:r>
      <w:r>
        <w:rPr>
          <w:rFonts w:hint="eastAsia" w:ascii="仿宋_GB2312" w:eastAsia="仿宋_GB2312"/>
          <w:color w:val="auto"/>
          <w:sz w:val="32"/>
          <w:szCs w:val="32"/>
          <w:highlight w:val="none"/>
          <w:shd w:val="clear" w:color="auto" w:fill="auto"/>
        </w:rPr>
        <w:t>区</w:t>
      </w:r>
      <w:r>
        <w:rPr>
          <w:rFonts w:ascii="仿宋_GB2312" w:eastAsia="仿宋_GB2312"/>
          <w:color w:val="auto"/>
          <w:sz w:val="32"/>
          <w:szCs w:val="32"/>
          <w:highlight w:val="none"/>
          <w:shd w:val="clear" w:color="auto" w:fill="auto"/>
        </w:rPr>
        <w:t>局到</w:t>
      </w:r>
      <w:r>
        <w:rPr>
          <w:rFonts w:hint="eastAsia" w:ascii="仿宋_GB2312" w:eastAsia="仿宋_GB2312"/>
          <w:color w:val="auto"/>
          <w:sz w:val="32"/>
          <w:szCs w:val="32"/>
          <w:highlight w:val="none"/>
          <w:shd w:val="clear" w:color="auto" w:fill="auto"/>
        </w:rPr>
        <w:t>场</w:t>
      </w:r>
      <w:r>
        <w:rPr>
          <w:rFonts w:ascii="仿宋_GB2312" w:eastAsia="仿宋_GB2312"/>
          <w:color w:val="auto"/>
          <w:sz w:val="32"/>
          <w:szCs w:val="32"/>
          <w:highlight w:val="none"/>
          <w:shd w:val="clear" w:color="auto" w:fill="auto"/>
        </w:rPr>
        <w:t>协调解决。使用</w:t>
      </w:r>
      <w:r>
        <w:rPr>
          <w:rFonts w:hint="eastAsia" w:ascii="仿宋_GB2312" w:eastAsia="仿宋_GB2312"/>
          <w:color w:val="auto"/>
          <w:sz w:val="32"/>
          <w:szCs w:val="32"/>
          <w:highlight w:val="none"/>
          <w:shd w:val="clear" w:color="auto" w:fill="auto"/>
        </w:rPr>
        <w:t>单位</w:t>
      </w:r>
      <w:r>
        <w:rPr>
          <w:rFonts w:ascii="仿宋_GB2312" w:eastAsia="仿宋_GB2312"/>
          <w:color w:val="auto"/>
          <w:sz w:val="32"/>
          <w:szCs w:val="32"/>
          <w:highlight w:val="none"/>
          <w:shd w:val="clear" w:color="auto" w:fill="auto"/>
        </w:rPr>
        <w:t>或维保单位无正当理由</w:t>
      </w:r>
      <w:r>
        <w:rPr>
          <w:rFonts w:hint="eastAsia" w:ascii="仿宋_GB2312" w:eastAsia="仿宋_GB2312"/>
          <w:color w:val="auto"/>
          <w:sz w:val="32"/>
          <w:szCs w:val="32"/>
          <w:highlight w:val="none"/>
          <w:shd w:val="clear" w:color="auto" w:fill="auto"/>
        </w:rPr>
        <w:t>仍</w:t>
      </w:r>
      <w:r>
        <w:rPr>
          <w:rFonts w:ascii="仿宋_GB2312" w:eastAsia="仿宋_GB2312"/>
          <w:color w:val="auto"/>
          <w:sz w:val="32"/>
          <w:szCs w:val="32"/>
          <w:highlight w:val="none"/>
          <w:shd w:val="clear" w:color="auto" w:fill="auto"/>
        </w:rPr>
        <w:t>拒绝</w:t>
      </w:r>
      <w:r>
        <w:rPr>
          <w:rFonts w:hint="eastAsia" w:ascii="仿宋_GB2312" w:eastAsia="仿宋_GB2312"/>
          <w:color w:val="auto"/>
          <w:sz w:val="32"/>
          <w:szCs w:val="32"/>
          <w:highlight w:val="none"/>
          <w:shd w:val="clear" w:color="auto" w:fill="auto"/>
        </w:rPr>
        <w:t>配合的</w:t>
      </w:r>
      <w:r>
        <w:rPr>
          <w:rFonts w:ascii="仿宋_GB2312" w:eastAsia="仿宋_GB2312"/>
          <w:color w:val="auto"/>
          <w:sz w:val="32"/>
          <w:szCs w:val="32"/>
          <w:highlight w:val="none"/>
          <w:shd w:val="clear" w:color="auto" w:fill="auto"/>
        </w:rPr>
        <w:t>，由辖区局</w:t>
      </w:r>
      <w:r>
        <w:rPr>
          <w:rFonts w:hint="eastAsia" w:ascii="仿宋_GB2312" w:eastAsia="仿宋_GB2312"/>
          <w:color w:val="auto"/>
          <w:sz w:val="32"/>
          <w:szCs w:val="32"/>
          <w:highlight w:val="none"/>
          <w:shd w:val="clear" w:color="auto" w:fill="auto"/>
        </w:rPr>
        <w:t>依据</w:t>
      </w:r>
      <w:r>
        <w:rPr>
          <w:rFonts w:ascii="仿宋_GB2312" w:eastAsia="仿宋_GB2312"/>
          <w:color w:val="auto"/>
          <w:sz w:val="32"/>
          <w:szCs w:val="32"/>
          <w:highlight w:val="none"/>
          <w:shd w:val="clear" w:color="auto" w:fill="auto"/>
        </w:rPr>
        <w:t>《</w:t>
      </w:r>
      <w:r>
        <w:rPr>
          <w:rFonts w:hint="eastAsia" w:ascii="仿宋_GB2312" w:eastAsia="仿宋_GB2312"/>
          <w:color w:val="auto"/>
          <w:sz w:val="32"/>
          <w:szCs w:val="32"/>
          <w:highlight w:val="none"/>
          <w:shd w:val="clear" w:color="auto" w:fill="auto"/>
        </w:rPr>
        <w:t>中华人民共和国特种</w:t>
      </w:r>
      <w:r>
        <w:rPr>
          <w:rFonts w:ascii="仿宋_GB2312" w:eastAsia="仿宋_GB2312"/>
          <w:color w:val="auto"/>
          <w:sz w:val="32"/>
          <w:szCs w:val="32"/>
          <w:highlight w:val="none"/>
          <w:shd w:val="clear" w:color="auto" w:fill="auto"/>
        </w:rPr>
        <w:t>设备安全法》</w:t>
      </w:r>
      <w:r>
        <w:rPr>
          <w:rFonts w:hint="eastAsia" w:ascii="仿宋_GB2312" w:eastAsia="仿宋_GB2312"/>
          <w:color w:val="auto"/>
          <w:sz w:val="32"/>
          <w:szCs w:val="32"/>
          <w:highlight w:val="none"/>
          <w:shd w:val="clear" w:color="auto" w:fill="auto"/>
        </w:rPr>
        <w:t>第</w:t>
      </w:r>
      <w:r>
        <w:rPr>
          <w:rFonts w:ascii="仿宋_GB2312" w:eastAsia="仿宋_GB2312"/>
          <w:color w:val="auto"/>
          <w:sz w:val="32"/>
          <w:szCs w:val="32"/>
          <w:highlight w:val="none"/>
          <w:shd w:val="clear" w:color="auto" w:fill="auto"/>
        </w:rPr>
        <w:t>九十五条规定</w:t>
      </w:r>
      <w:r>
        <w:rPr>
          <w:rFonts w:hint="eastAsia" w:ascii="仿宋_GB2312" w:eastAsia="仿宋_GB2312"/>
          <w:color w:val="auto"/>
          <w:sz w:val="32"/>
          <w:szCs w:val="32"/>
          <w:highlight w:val="none"/>
          <w:shd w:val="clear" w:color="auto" w:fill="auto"/>
        </w:rPr>
        <w:t>处理</w:t>
      </w:r>
      <w:r>
        <w:rPr>
          <w:rFonts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被抽查单位应落实现场安全防护，抽查人员应严格按照规定项目和要求开展现场检验工作，通过拍照</w:t>
      </w:r>
      <w:r>
        <w:rPr>
          <w:rFonts w:hint="eastAsia" w:ascii="仿宋_GB2312" w:hAnsi="仿宋_GB2312" w:eastAsia="仿宋_GB2312" w:cs="仿宋_GB2312"/>
          <w:color w:val="auto"/>
          <w:sz w:val="32"/>
          <w:szCs w:val="40"/>
          <w:highlight w:val="none"/>
          <w:shd w:val="clear" w:color="auto" w:fill="auto"/>
        </w:rPr>
        <w:t>或视频对</w:t>
      </w:r>
      <w:r>
        <w:rPr>
          <w:rFonts w:hint="eastAsia" w:ascii="仿宋_GB2312" w:eastAsia="仿宋_GB2312"/>
          <w:color w:val="auto"/>
          <w:sz w:val="32"/>
          <w:szCs w:val="32"/>
          <w:highlight w:val="none"/>
          <w:shd w:val="clear" w:color="auto" w:fill="auto"/>
        </w:rPr>
        <w:t>不合格项目进行证据固定，对</w:t>
      </w:r>
      <w:r>
        <w:rPr>
          <w:rFonts w:hint="eastAsia" w:ascii="仿宋_GB2312" w:hAnsi="仿宋_GB2312" w:eastAsia="仿宋_GB2312" w:cs="仿宋_GB2312"/>
          <w:color w:val="auto"/>
          <w:sz w:val="32"/>
          <w:szCs w:val="40"/>
          <w:highlight w:val="none"/>
          <w:shd w:val="clear" w:color="auto" w:fill="auto"/>
        </w:rPr>
        <w:t>进入监督抽查现场及实施现场监督抽查的主要工作点予以记录，</w:t>
      </w:r>
      <w:r>
        <w:rPr>
          <w:rFonts w:hint="eastAsia" w:ascii="仿宋_GB2312" w:eastAsia="仿宋_GB2312"/>
          <w:color w:val="auto"/>
          <w:sz w:val="32"/>
          <w:szCs w:val="32"/>
          <w:highlight w:val="none"/>
          <w:shd w:val="clear" w:color="auto" w:fill="auto"/>
        </w:rPr>
        <w:t>并现场出具《深圳市电梯载荷试验监督抽查初步结果通知书》（下称《初步结果通知书》，附件3）要求被抽查的维保单位、使用单位限期整改；监督抽查检验机构应采集汇总</w:t>
      </w:r>
      <w:r>
        <w:rPr>
          <w:rFonts w:hint="eastAsia" w:ascii="仿宋_GB2312" w:eastAsia="仿宋_GB2312"/>
          <w:color w:val="auto"/>
          <w:sz w:val="32"/>
          <w:szCs w:val="32"/>
          <w:highlight w:val="none"/>
          <w:shd w:val="clear" w:color="auto" w:fill="auto"/>
          <w:lang w:eastAsia="zh-CN"/>
        </w:rPr>
        <w:t>不合格</w:t>
      </w:r>
      <w:r>
        <w:rPr>
          <w:rFonts w:hint="eastAsia" w:ascii="仿宋_GB2312" w:eastAsia="仿宋_GB2312"/>
          <w:color w:val="auto"/>
          <w:sz w:val="32"/>
          <w:szCs w:val="32"/>
          <w:highlight w:val="none"/>
          <w:shd w:val="clear" w:color="auto" w:fill="auto"/>
        </w:rPr>
        <w:t>电梯维保单位名称、试验人员身份信息及其《特种设备作业人员证》相关信息、使用单位名称、安全管理人员身份信息及其《特种设备作业人员证》相关信息。</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现场检验结束后抽查人员应当场将各个不合格项目及整体初步判定结论等情况告知陪检人员，要求其在《初步结果通知书》签字确认并声明对检验结论没有异议，同时书面承诺不再对检验结果申请复核。如陪检人员提出异议，抽查人员应予以解答。经解答双方尚不能达成一致的，由辖区局到场协调解决。如辖区局协调解决后，陪检人员仍拒绝书面承诺放弃对检验结果申请复核，为保证电梯检验状态的一致性，由辖区局在维保单位、使用单位、抽查人员的见证下对拟申请复核的电梯查封保存，并由监督抽查检验机构抽查人员在其内部质量技术部门的监督下实施复核。</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四、监督抽查后处理</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（一）隐患和问题报送</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1．对判定为载荷试验监督抽查不合格的电梯，监督抽查检验机构应在监督抽查现场检验结束次日起24小时内通过电子信息渠道将《抽查通知书》、《初步结果通知书》等证据材料报送电梯安装地辖区局；</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2．对电梯载荷试验监督抽查不合格的电梯，监督抽查检验机构应在监督抽查工作全部结束后10个工作日内以当前电梯维保单位为报告对象（试验单位非当前维保单位的应注明），将《电梯载荷试验监督抽查不合格维保单位报告单》（附件4）及监督抽查不合格电梯的《检验报告》报送市市场监管局特设处。</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（二）隐患处置</w:t>
      </w:r>
    </w:p>
    <w:p>
      <w:pPr>
        <w:keepNext w:val="0"/>
        <w:keepLines w:val="0"/>
        <w:pageBreakBefore w:val="0"/>
        <w:widowControl w:val="0"/>
        <w:tabs>
          <w:tab w:val="left" w:pos="2072"/>
        </w:tabs>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color w:val="auto"/>
          <w:sz w:val="32"/>
          <w:szCs w:val="40"/>
          <w:highlight w:val="none"/>
          <w:shd w:val="clear" w:color="auto" w:fill="auto"/>
        </w:rPr>
      </w:pPr>
      <w:r>
        <w:rPr>
          <w:rFonts w:hint="eastAsia" w:ascii="仿宋_GB2312" w:hAnsi="仿宋_GB2312" w:eastAsia="仿宋_GB2312" w:cs="仿宋_GB2312"/>
          <w:color w:val="auto"/>
          <w:sz w:val="32"/>
          <w:szCs w:val="40"/>
          <w:highlight w:val="none"/>
          <w:shd w:val="clear" w:color="auto" w:fill="auto"/>
        </w:rPr>
        <w:t>抽查人员发现电梯存在严重隐患和重大问题的，在通过《初步结果通知书》告知被抽查单位“立即停止使用”意见的同时，要求被抽查单位采取适当措施对设备进行封停，如在电梯主电源处作拉闸、张贴封条的措施等；抽查人员还应拍照，以固化该封停措施。如使用单位提出异议，抽查人员应联系辖区局到场协调解决。</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对判定为载荷试验监督抽查不合格的电梯，辖区局接到电梯载荷试验监督抽查不合格的报送材料后，应在1个工作日内予以紧急封停，并下达特种设备安全监察指令，</w:t>
      </w:r>
      <w:r>
        <w:rPr>
          <w:rFonts w:hint="eastAsia" w:ascii="仿宋_GB2312" w:eastAsia="仿宋_GB2312"/>
          <w:color w:val="auto"/>
          <w:sz w:val="32"/>
          <w:szCs w:val="32"/>
          <w:highlight w:val="none"/>
          <w:shd w:val="clear" w:color="auto" w:fill="auto"/>
          <w:lang w:eastAsia="zh-CN"/>
        </w:rPr>
        <w:t>责令</w:t>
      </w:r>
      <w:r>
        <w:rPr>
          <w:rFonts w:hint="eastAsia" w:ascii="仿宋_GB2312" w:eastAsia="仿宋_GB2312"/>
          <w:color w:val="auto"/>
          <w:sz w:val="32"/>
          <w:szCs w:val="32"/>
          <w:highlight w:val="none"/>
          <w:shd w:val="clear" w:color="auto" w:fill="auto"/>
        </w:rPr>
        <w:t>使用单位、维保单位在《初步结果通知书》</w:t>
      </w:r>
      <w:r>
        <w:rPr>
          <w:rFonts w:hint="eastAsia" w:ascii="仿宋_GB2312" w:eastAsia="仿宋_GB2312"/>
          <w:color w:val="auto"/>
          <w:sz w:val="32"/>
          <w:szCs w:val="32"/>
          <w:highlight w:val="none"/>
          <w:shd w:val="clear" w:color="auto" w:fill="auto"/>
          <w:lang w:eastAsia="zh-CN"/>
        </w:rPr>
        <w:t>要求时间</w:t>
      </w:r>
      <w:r>
        <w:rPr>
          <w:rFonts w:hint="eastAsia" w:ascii="仿宋_GB2312" w:eastAsia="仿宋_GB2312"/>
          <w:color w:val="auto"/>
          <w:sz w:val="32"/>
          <w:szCs w:val="32"/>
          <w:highlight w:val="none"/>
          <w:shd w:val="clear" w:color="auto" w:fill="auto"/>
        </w:rPr>
        <w:t>内完成整改。</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经封停电梯可凭整改申请由辖区局决定解封必要部位进行整改，但不得投入正常使用。经监督抽查检验机构出具检验合格的《初步结果通知书》后电梯方可投入正常使用。</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楷体_GB2312" w:eastAsia="楷体_GB2312"/>
          <w:b/>
          <w:color w:val="auto"/>
          <w:sz w:val="32"/>
          <w:szCs w:val="32"/>
          <w:highlight w:val="none"/>
          <w:shd w:val="clear" w:color="auto" w:fill="auto"/>
        </w:rPr>
      </w:pPr>
      <w:r>
        <w:rPr>
          <w:rFonts w:hint="eastAsia" w:ascii="楷体_GB2312" w:eastAsia="楷体_GB2312"/>
          <w:b/>
          <w:color w:val="auto"/>
          <w:sz w:val="32"/>
          <w:szCs w:val="32"/>
          <w:highlight w:val="none"/>
          <w:shd w:val="clear" w:color="auto" w:fill="auto"/>
        </w:rPr>
        <w:t>（三）违法行为查处</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1．对继续将经载荷试验监督抽查不合格电梯投入使用的使用单位，由电梯安装地辖区局根据《中华人民共和国特种设备安全法》第八十四条对予以立案处罚；</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2．对电梯载荷试验监督抽查不合格的电梯，由市市场监管局指定相关辖区局对电梯维保单位依据《深圳经济特区特种设备安全条例》第八十条规定予以立案处罚。</w:t>
      </w:r>
    </w:p>
    <w:p>
      <w:pPr>
        <w:keepNext w:val="0"/>
        <w:keepLines w:val="0"/>
        <w:pageBreakBefore w:val="0"/>
        <w:widowControl w:val="0"/>
        <w:kinsoku/>
        <w:wordWrap/>
        <w:overflowPunct/>
        <w:topLinePunct w:val="0"/>
        <w:autoSpaceDE/>
        <w:autoSpaceDN/>
        <w:bidi w:val="0"/>
        <w:adjustRightInd/>
        <w:snapToGrid/>
        <w:spacing w:line="560" w:lineRule="exact"/>
        <w:ind w:firstLine="643"/>
        <w:jc w:val="both"/>
        <w:textAlignment w:val="auto"/>
        <w:rPr>
          <w:rFonts w:ascii="仿宋" w:hAnsi="仿宋" w:eastAsia="楷体_GB2312"/>
          <w:b/>
          <w:color w:val="auto"/>
          <w:sz w:val="32"/>
          <w:szCs w:val="22"/>
          <w:highlight w:val="none"/>
          <w:shd w:val="clear" w:color="auto" w:fill="auto"/>
        </w:rPr>
      </w:pPr>
      <w:r>
        <w:rPr>
          <w:rFonts w:hint="eastAsia" w:ascii="仿宋" w:hAnsi="仿宋" w:eastAsia="楷体_GB2312"/>
          <w:b/>
          <w:color w:val="auto"/>
          <w:sz w:val="32"/>
          <w:szCs w:val="22"/>
          <w:highlight w:val="none"/>
          <w:shd w:val="clear" w:color="auto" w:fill="auto"/>
        </w:rPr>
        <w:t>（四）总结报送和结果公告</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监督抽查检验机构应在1</w:t>
      </w:r>
      <w:r>
        <w:rPr>
          <w:rFonts w:hint="eastAsia" w:ascii="仿宋_GB2312" w:eastAsia="仿宋_GB2312"/>
          <w:color w:val="auto"/>
          <w:sz w:val="32"/>
          <w:szCs w:val="32"/>
          <w:highlight w:val="none"/>
          <w:shd w:val="clear" w:color="auto" w:fill="auto"/>
          <w:lang w:val="en-US" w:eastAsia="zh-CN"/>
        </w:rPr>
        <w:t>1</w:t>
      </w:r>
      <w:r>
        <w:rPr>
          <w:rFonts w:hint="eastAsia" w:ascii="仿宋_GB2312" w:eastAsia="仿宋_GB2312"/>
          <w:color w:val="auto"/>
          <w:sz w:val="32"/>
          <w:szCs w:val="32"/>
          <w:highlight w:val="none"/>
          <w:shd w:val="clear" w:color="auto" w:fill="auto"/>
        </w:rPr>
        <w:t>月</w:t>
      </w:r>
      <w:r>
        <w:rPr>
          <w:rFonts w:hint="eastAsia" w:ascii="仿宋_GB2312" w:eastAsia="仿宋_GB2312"/>
          <w:color w:val="auto"/>
          <w:sz w:val="32"/>
          <w:szCs w:val="32"/>
          <w:highlight w:val="none"/>
          <w:shd w:val="clear" w:color="auto" w:fill="auto"/>
          <w:lang w:val="en-US" w:eastAsia="zh-CN"/>
        </w:rPr>
        <w:t>30日</w:t>
      </w:r>
      <w:r>
        <w:rPr>
          <w:rFonts w:hint="eastAsia" w:ascii="仿宋_GB2312" w:eastAsia="仿宋_GB2312"/>
          <w:color w:val="auto"/>
          <w:sz w:val="32"/>
          <w:szCs w:val="32"/>
          <w:highlight w:val="none"/>
          <w:shd w:val="clear" w:color="auto" w:fill="auto"/>
        </w:rPr>
        <w:t>前完成监督抽查工作并将监督抽查结果分析报告报送市市场监管局特设处。</w:t>
      </w:r>
      <w:r>
        <w:rPr>
          <w:rFonts w:hint="eastAsia" w:ascii="仿宋_GB2312" w:eastAsia="仿宋_GB2312"/>
          <w:color w:val="auto"/>
          <w:sz w:val="32"/>
          <w:szCs w:val="32"/>
          <w:highlight w:val="none"/>
          <w:shd w:val="clear" w:color="auto" w:fill="auto"/>
          <w:lang w:eastAsia="zh-CN"/>
        </w:rPr>
        <w:t>特设处</w:t>
      </w:r>
      <w:r>
        <w:rPr>
          <w:rFonts w:hint="eastAsia" w:ascii="仿宋_GB2312" w:eastAsia="仿宋_GB2312"/>
          <w:color w:val="auto"/>
          <w:sz w:val="32"/>
          <w:szCs w:val="32"/>
          <w:highlight w:val="none"/>
          <w:shd w:val="clear" w:color="auto" w:fill="auto"/>
        </w:rPr>
        <w:t>在2个月内将监督抽查结果在市市场监管局网站或媒体上进行公告。</w:t>
      </w:r>
    </w:p>
    <w:p>
      <w:pPr>
        <w:keepNext w:val="0"/>
        <w:keepLines w:val="0"/>
        <w:pageBreakBefore w:val="0"/>
        <w:widowControl w:val="0"/>
        <w:kinsoku/>
        <w:wordWrap/>
        <w:overflowPunct/>
        <w:topLinePunct w:val="0"/>
        <w:autoSpaceDE/>
        <w:autoSpaceDN/>
        <w:bidi w:val="0"/>
        <w:adjustRightInd/>
        <w:snapToGrid/>
        <w:spacing w:line="560" w:lineRule="exact"/>
        <w:ind w:left="640"/>
        <w:jc w:val="both"/>
        <w:textAlignment w:val="auto"/>
        <w:outlineLvl w:val="1"/>
        <w:rPr>
          <w:rFonts w:ascii="仿宋" w:hAnsi="仿宋" w:eastAsia="黑体"/>
          <w:bCs/>
          <w:color w:val="auto"/>
          <w:sz w:val="32"/>
          <w:szCs w:val="32"/>
          <w:highlight w:val="none"/>
          <w:shd w:val="clear" w:color="auto" w:fill="auto"/>
        </w:rPr>
      </w:pPr>
      <w:r>
        <w:rPr>
          <w:rFonts w:hint="eastAsia" w:ascii="仿宋" w:hAnsi="仿宋" w:eastAsia="黑体"/>
          <w:bCs/>
          <w:color w:val="auto"/>
          <w:sz w:val="32"/>
          <w:szCs w:val="32"/>
          <w:highlight w:val="none"/>
          <w:shd w:val="clear" w:color="auto" w:fill="auto"/>
        </w:rPr>
        <w:t>五、特别注意事项</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为防范因维保单位变更，导致电梯安全责任缺失，对判定为载荷试验监督抽查不合格的电梯，如出现载荷试验报告出具方与当前电</w:t>
      </w:r>
      <w:r>
        <w:rPr>
          <w:rFonts w:hint="eastAsia" w:ascii="华文仿宋" w:hAnsi="华文仿宋" w:eastAsia="华文仿宋" w:cs="华文仿宋"/>
          <w:color w:val="auto"/>
          <w:sz w:val="32"/>
          <w:szCs w:val="32"/>
          <w:highlight w:val="none"/>
          <w:shd w:val="clear" w:color="auto" w:fill="auto"/>
        </w:rPr>
        <w:t>梯维保单位不一致的情况，由市市场监管局指定相关辖区局对原实施试验的维保单位</w:t>
      </w:r>
      <w:r>
        <w:rPr>
          <w:rFonts w:hint="eastAsia" w:ascii="华文仿宋" w:hAnsi="华文仿宋" w:eastAsia="华文仿宋" w:cs="华文仿宋"/>
          <w:color w:val="auto"/>
          <w:sz w:val="32"/>
          <w:szCs w:val="32"/>
          <w:highlight w:val="none"/>
          <w:shd w:val="clear" w:color="auto" w:fill="auto"/>
          <w:lang w:eastAsia="zh-CN"/>
        </w:rPr>
        <w:t>和</w:t>
      </w:r>
      <w:r>
        <w:rPr>
          <w:rFonts w:hint="eastAsia" w:ascii="华文仿宋" w:hAnsi="华文仿宋" w:eastAsia="华文仿宋" w:cs="华文仿宋"/>
          <w:color w:val="auto"/>
          <w:sz w:val="32"/>
          <w:szCs w:val="32"/>
          <w:highlight w:val="none"/>
          <w:shd w:val="clear" w:color="auto" w:fill="auto"/>
        </w:rPr>
        <w:t>当前维保单位</w:t>
      </w:r>
      <w:r>
        <w:rPr>
          <w:rFonts w:hint="eastAsia" w:ascii="华文仿宋" w:hAnsi="华文仿宋" w:eastAsia="华文仿宋" w:cs="华文仿宋"/>
          <w:color w:val="auto"/>
          <w:sz w:val="32"/>
          <w:szCs w:val="32"/>
          <w:highlight w:val="none"/>
          <w:shd w:val="clear" w:color="auto" w:fill="auto"/>
          <w:lang w:eastAsia="zh-CN"/>
        </w:rPr>
        <w:t>进行约</w:t>
      </w:r>
      <w:r>
        <w:rPr>
          <w:rFonts w:hint="eastAsia" w:ascii="仿宋_GB2312" w:eastAsia="仿宋_GB2312"/>
          <w:color w:val="auto"/>
          <w:sz w:val="32"/>
          <w:szCs w:val="32"/>
          <w:highlight w:val="none"/>
          <w:shd w:val="clear" w:color="auto" w:fill="auto"/>
          <w:lang w:eastAsia="zh-CN"/>
        </w:rPr>
        <w:t>谈</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ind w:left="210" w:leftChars="100" w:firstLine="320" w:firstLineChars="10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附件:</w:t>
      </w:r>
      <w:r>
        <w:rPr>
          <w:rFonts w:hint="default" w:ascii="仿宋_GB2312" w:eastAsia="仿宋_GB2312"/>
          <w:color w:val="auto"/>
          <w:sz w:val="32"/>
          <w:szCs w:val="32"/>
          <w:highlight w:val="none"/>
          <w:shd w:val="clear" w:color="auto" w:fill="auto"/>
          <w:lang w:val="en"/>
        </w:rPr>
        <w:t>1</w:t>
      </w:r>
      <w:r>
        <w:rPr>
          <w:rFonts w:hint="eastAsia" w:ascii="仿宋_GB2312" w:eastAsia="仿宋_GB2312"/>
          <w:color w:val="auto"/>
          <w:sz w:val="32"/>
          <w:szCs w:val="32"/>
          <w:highlight w:val="none"/>
          <w:shd w:val="clear" w:color="auto" w:fill="auto"/>
        </w:rPr>
        <w:t>. 《</w:t>
      </w:r>
      <w:r>
        <w:rPr>
          <w:rFonts w:ascii="仿宋_GB2312" w:eastAsia="仿宋_GB2312"/>
          <w:color w:val="auto"/>
          <w:sz w:val="32"/>
          <w:szCs w:val="32"/>
          <w:highlight w:val="none"/>
          <w:shd w:val="clear" w:color="auto" w:fill="auto"/>
        </w:rPr>
        <w:t>深圳市</w:t>
      </w:r>
      <w:r>
        <w:rPr>
          <w:rFonts w:hint="eastAsia" w:ascii="仿宋_GB2312" w:eastAsia="仿宋_GB2312"/>
          <w:color w:val="auto"/>
          <w:sz w:val="32"/>
          <w:szCs w:val="32"/>
          <w:highlight w:val="none"/>
          <w:shd w:val="clear" w:color="auto" w:fill="auto"/>
        </w:rPr>
        <w:t>2022</w:t>
      </w:r>
      <w:r>
        <w:rPr>
          <w:rFonts w:ascii="仿宋_GB2312" w:eastAsia="仿宋_GB2312"/>
          <w:color w:val="auto"/>
          <w:sz w:val="32"/>
          <w:szCs w:val="32"/>
          <w:highlight w:val="none"/>
          <w:shd w:val="clear" w:color="auto" w:fill="auto"/>
        </w:rPr>
        <w:t>年电梯载荷试验监督抽查项目</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left="210" w:leftChars="100" w:firstLine="1120" w:firstLineChars="350"/>
        <w:jc w:val="both"/>
        <w:textAlignment w:val="auto"/>
        <w:rPr>
          <w:rFonts w:ascii="仿宋_GB2312" w:eastAsia="仿宋_GB2312"/>
          <w:color w:val="auto"/>
          <w:sz w:val="32"/>
          <w:szCs w:val="32"/>
          <w:highlight w:val="none"/>
          <w:shd w:val="clear" w:color="auto" w:fill="auto"/>
        </w:rPr>
      </w:pPr>
      <w:r>
        <w:rPr>
          <w:rFonts w:hint="default" w:ascii="仿宋_GB2312" w:eastAsia="仿宋_GB2312"/>
          <w:color w:val="auto"/>
          <w:sz w:val="32"/>
          <w:szCs w:val="32"/>
          <w:highlight w:val="none"/>
          <w:shd w:val="clear" w:color="auto" w:fill="auto"/>
          <w:lang w:val="en"/>
        </w:rPr>
        <w:t>2</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深圳市电梯载荷试验监督抽查通知单</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 xml:space="preserve">    3.《</w:t>
      </w:r>
      <w:r>
        <w:rPr>
          <w:rFonts w:ascii="仿宋_GB2312" w:eastAsia="仿宋_GB2312"/>
          <w:color w:val="auto"/>
          <w:sz w:val="32"/>
          <w:szCs w:val="32"/>
          <w:highlight w:val="none"/>
          <w:shd w:val="clear" w:color="auto" w:fill="auto"/>
        </w:rPr>
        <w:t>监督抽查初步结果通知书</w:t>
      </w:r>
      <w:r>
        <w:rPr>
          <w:rFonts w:hint="eastAsia" w:ascii="仿宋_GB2312" w:eastAsia="仿宋_GB2312"/>
          <w:color w:val="auto"/>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left="2095" w:leftChars="609" w:hanging="816" w:hangingChars="255"/>
        <w:jc w:val="both"/>
        <w:textAlignment w:val="auto"/>
        <w:rPr>
          <w:rFonts w:ascii="仿宋_GB2312" w:eastAsia="仿宋_GB2312"/>
          <w:color w:val="auto"/>
          <w:sz w:val="32"/>
          <w:szCs w:val="32"/>
          <w:highlight w:val="none"/>
          <w:shd w:val="clear" w:color="auto" w:fill="auto"/>
        </w:rPr>
      </w:pPr>
      <w:r>
        <w:rPr>
          <w:rFonts w:hint="default" w:ascii="仿宋_GB2312" w:eastAsia="仿宋_GB2312"/>
          <w:color w:val="auto"/>
          <w:sz w:val="32"/>
          <w:szCs w:val="32"/>
          <w:highlight w:val="none"/>
          <w:shd w:val="clear" w:color="auto" w:fill="auto"/>
          <w:lang w:val="en"/>
        </w:rPr>
        <w:t>4</w:t>
      </w:r>
      <w:r>
        <w:rPr>
          <w:rFonts w:hint="eastAsia" w:ascii="仿宋_GB2312" w:eastAsia="仿宋_GB2312"/>
          <w:color w:val="auto"/>
          <w:sz w:val="32"/>
          <w:szCs w:val="32"/>
          <w:highlight w:val="none"/>
          <w:shd w:val="clear" w:color="auto" w:fill="auto"/>
        </w:rPr>
        <w:t>.《</w:t>
      </w:r>
      <w:r>
        <w:rPr>
          <w:rFonts w:ascii="仿宋_GB2312" w:eastAsia="仿宋_GB2312"/>
          <w:color w:val="auto"/>
          <w:sz w:val="32"/>
          <w:szCs w:val="32"/>
          <w:highlight w:val="none"/>
          <w:shd w:val="clear" w:color="auto" w:fill="auto"/>
        </w:rPr>
        <w:t>深圳市电梯载荷试验监督抽查不合格维保单位报告</w:t>
      </w:r>
    </w:p>
    <w:p>
      <w:pPr>
        <w:keepNext w:val="0"/>
        <w:keepLines w:val="0"/>
        <w:pageBreakBefore w:val="0"/>
        <w:widowControl w:val="0"/>
        <w:kinsoku/>
        <w:wordWrap/>
        <w:overflowPunct/>
        <w:topLinePunct w:val="0"/>
        <w:autoSpaceDE/>
        <w:autoSpaceDN/>
        <w:bidi w:val="0"/>
        <w:adjustRightInd/>
        <w:snapToGrid/>
        <w:spacing w:line="560" w:lineRule="exact"/>
        <w:ind w:left="2094" w:leftChars="761" w:hanging="496" w:hangingChars="155"/>
        <w:jc w:val="both"/>
        <w:textAlignment w:val="auto"/>
        <w:rPr>
          <w:rFonts w:ascii="仿宋_GB2312" w:eastAsia="仿宋_GB2312"/>
          <w:color w:val="auto"/>
          <w:sz w:val="32"/>
          <w:szCs w:val="32"/>
          <w:highlight w:val="none"/>
          <w:shd w:val="clear" w:color="auto" w:fill="auto"/>
        </w:rPr>
      </w:pPr>
      <w:r>
        <w:rPr>
          <w:rFonts w:ascii="仿宋_GB2312" w:eastAsia="仿宋_GB2312"/>
          <w:color w:val="auto"/>
          <w:sz w:val="32"/>
          <w:szCs w:val="32"/>
          <w:highlight w:val="none"/>
          <w:shd w:val="clear" w:color="auto" w:fill="auto"/>
        </w:rPr>
        <w:t>单</w:t>
      </w:r>
      <w:r>
        <w:rPr>
          <w:rFonts w:hint="eastAsia" w:ascii="仿宋_GB2312" w:eastAsia="仿宋_GB2312"/>
          <w:color w:val="auto"/>
          <w:sz w:val="32"/>
          <w:szCs w:val="32"/>
          <w:highlight w:val="none"/>
          <w:shd w:val="clear" w:color="auto" w:fill="auto"/>
        </w:rPr>
        <w:t>》</w:t>
      </w:r>
    </w:p>
    <w:p>
      <w:pPr>
        <w:spacing w:line="560" w:lineRule="exact"/>
        <w:ind w:left="1883" w:leftChars="703" w:hanging="407" w:hangingChars="194"/>
        <w:jc w:val="left"/>
        <w:outlineLvl w:val="9"/>
      </w:pPr>
    </w:p>
    <w:sectPr>
      <w:pgSz w:w="11906" w:h="16838"/>
      <w:pgMar w:top="1587" w:right="1474" w:bottom="1587"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仿宋_GB2312">
    <w:altName w:val="方正仿宋_GBK"/>
    <w:panose1 w:val="02010609030101010101"/>
    <w:charset w:val="00"/>
    <w:family w:val="modern"/>
    <w:pitch w:val="default"/>
    <w:sig w:usb0="00000000" w:usb1="00000000" w:usb2="00000000" w:usb3="00000000" w:csb0="00040000" w:csb1="00000000"/>
  </w:font>
  <w:font w:name="楷体_GB2312">
    <w:altName w:val="方正楷体_GBK"/>
    <w:panose1 w:val="02010609030101010101"/>
    <w:charset w:val="00"/>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278D3"/>
    <w:multiLevelType w:val="multilevel"/>
    <w:tmpl w:val="403278D3"/>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7F20F98"/>
    <w:rsid w:val="E7F20F98"/>
    <w:rsid w:val="FBEF2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ubtitle"/>
    <w:basedOn w:val="1"/>
    <w:next w:val="1"/>
    <w:qFormat/>
    <w:uiPriority w:val="0"/>
    <w:pPr>
      <w:spacing w:line="560" w:lineRule="exact"/>
      <w:outlineLvl w:val="1"/>
    </w:pPr>
    <w:rPr>
      <w:rFonts w:ascii="仿宋" w:hAnsi="仿宋" w:eastAsia="黑体"/>
      <w:bCs/>
      <w:color w:val="000000"/>
      <w:sz w:val="32"/>
      <w:szCs w:val="32"/>
    </w:rPr>
  </w:style>
  <w:style w:type="paragraph" w:customStyle="1" w:styleId="5">
    <w:name w:val="公文正文"/>
    <w:basedOn w:val="1"/>
    <w:qFormat/>
    <w:uiPriority w:val="0"/>
    <w:pPr>
      <w:ind w:firstLine="640"/>
    </w:pPr>
    <w:rPr>
      <w:rFonts w:ascii="仿宋_GB2312" w:eastAsia="仿宋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2023-07-13T11:54:00Z</dcterms:created>
  <dc:creator>gaowt</dc:creator>
  <cp:lastModifiedBy>gaowt</cp:lastModifiedBy>
  <dcterms:modified xsi:type="dcterms:W3CDTF">2023-07-13T12:03:18Z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2D07A4885680B2DC8677AF64229BBED1</vt:lpwstr>
  </property>
</Properties>
</file>