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附件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4.1</w:t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32"/>
          <w:szCs w:val="40"/>
          <w:highlight w:val="none"/>
        </w:rPr>
      </w:pPr>
    </w:p>
    <w:p>
      <w:pPr>
        <w:pStyle w:val="2"/>
        <w:spacing w:before="100" w:after="90"/>
        <w:ind w:firstLine="0" w:firstLineChars="0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深圳市202</w:t>
      </w: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highlight w:val="none"/>
        </w:rPr>
        <w:t>年</w:t>
      </w: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叉车维保质量及使用安全状况抽查</w:t>
      </w:r>
      <w:r>
        <w:rPr>
          <w:rFonts w:hint="eastAsia" w:ascii="宋体" w:hAnsi="宋体" w:eastAsia="宋体" w:cs="宋体"/>
          <w:b/>
          <w:bCs/>
          <w:highlight w:val="none"/>
        </w:rPr>
        <w:t>项目</w:t>
      </w:r>
    </w:p>
    <w:p>
      <w:pPr>
        <w:pStyle w:val="24"/>
        <w:numPr>
          <w:ilvl w:val="0"/>
          <w:numId w:val="1"/>
        </w:numPr>
        <w:ind w:firstLineChars="0"/>
        <w:rPr>
          <w:rFonts w:cs="宋体"/>
          <w:szCs w:val="21"/>
          <w:highlight w:val="none"/>
        </w:rPr>
      </w:pPr>
      <w:r>
        <w:rPr>
          <w:rFonts w:hint="eastAsia" w:cs="宋体"/>
          <w:szCs w:val="21"/>
          <w:highlight w:val="none"/>
          <w:lang w:eastAsia="zh-CN"/>
        </w:rPr>
        <w:t>叉车</w:t>
      </w:r>
      <w:r>
        <w:rPr>
          <w:rFonts w:hint="eastAsia" w:cs="宋体"/>
          <w:szCs w:val="21"/>
          <w:highlight w:val="none"/>
        </w:rPr>
        <w:t>抽查项目</w:t>
      </w:r>
    </w:p>
    <w:tbl>
      <w:tblPr>
        <w:tblStyle w:val="12"/>
        <w:tblW w:w="139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2071"/>
        <w:gridCol w:w="891"/>
        <w:gridCol w:w="4856"/>
        <w:gridCol w:w="55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  <w:shd w:val="clear" w:color="auto" w:fill="auto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检验</w:t>
            </w:r>
            <w:r>
              <w:rPr>
                <w:rFonts w:hint="eastAsia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4856" w:type="dxa"/>
            <w:shd w:val="clear" w:color="auto" w:fill="auto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检验内容与要求</w:t>
            </w:r>
          </w:p>
        </w:tc>
        <w:tc>
          <w:tcPr>
            <w:tcW w:w="5532" w:type="dxa"/>
            <w:shd w:val="clear" w:color="auto" w:fill="auto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检验方法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71" w:type="dxa"/>
            <w:shd w:val="clear" w:color="auto" w:fill="auto"/>
            <w:vAlign w:val="center"/>
          </w:tcPr>
          <w:p>
            <w:pPr>
              <w:pStyle w:val="26"/>
              <w:ind w:left="2" w:leftChars="0"/>
              <w:jc w:val="center"/>
              <w:rPr>
                <w:rFonts w:ascii="宋体" w:hAnsi="宋体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特种设备作业人员证</w:t>
            </w:r>
          </w:p>
        </w:tc>
        <w:tc>
          <w:tcPr>
            <w:tcW w:w="891" w:type="dxa"/>
            <w:shd w:val="clear" w:color="auto" w:fill="auto"/>
            <w:vAlign w:val="center"/>
          </w:tcPr>
          <w:p>
            <w:pPr>
              <w:pStyle w:val="26"/>
              <w:spacing w:before="10" w:line="250" w:lineRule="atLeast"/>
              <w:ind w:right="70" w:rightChars="0"/>
              <w:jc w:val="center"/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统计项</w:t>
            </w:r>
          </w:p>
        </w:tc>
        <w:tc>
          <w:tcPr>
            <w:tcW w:w="4856" w:type="dxa"/>
            <w:shd w:val="clear" w:color="auto" w:fill="auto"/>
            <w:vAlign w:val="center"/>
          </w:tcPr>
          <w:p>
            <w:pPr>
              <w:pStyle w:val="26"/>
              <w:spacing w:before="10" w:line="250" w:lineRule="atLeast"/>
              <w:ind w:right="70" w:rightChars="0"/>
              <w:rPr>
                <w:rFonts w:ascii="宋体" w:hAnsi="宋体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配备具</w:t>
            </w: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相应资格的特种设备作业人员</w:t>
            </w:r>
          </w:p>
        </w:tc>
        <w:tc>
          <w:tcPr>
            <w:tcW w:w="5532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检查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配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合人员和使用单位聘用人员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相应资格的特种设备作业人员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证，电子、纸质版本均认可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7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培训考核</w:t>
            </w:r>
          </w:p>
        </w:tc>
        <w:tc>
          <w:tcPr>
            <w:tcW w:w="89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统计项</w:t>
            </w:r>
          </w:p>
        </w:tc>
        <w:tc>
          <w:tcPr>
            <w:tcW w:w="4856" w:type="dxa"/>
            <w:shd w:val="clear" w:color="auto" w:fill="auto"/>
            <w:vAlign w:val="center"/>
          </w:tcPr>
          <w:p>
            <w:pPr>
              <w:jc w:val="left"/>
              <w:rPr>
                <w:rFonts w:hint="eastAsia" w:eastAsia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有特种设备作业人员培训考核记录</w:t>
            </w:r>
          </w:p>
        </w:tc>
        <w:tc>
          <w:tcPr>
            <w:tcW w:w="553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检验最近一次的特种设备作业人员培训考核记录（含线上培训、考核记录等均视为符合要求）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使用标志及注意事项</w:t>
            </w:r>
          </w:p>
        </w:tc>
        <w:tc>
          <w:tcPr>
            <w:tcW w:w="89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统计项</w:t>
            </w:r>
          </w:p>
        </w:tc>
        <w:tc>
          <w:tcPr>
            <w:tcW w:w="4856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叉车使用单位应当在叉车明显位置标明登记标志、定期检验标志</w:t>
            </w:r>
          </w:p>
        </w:tc>
        <w:tc>
          <w:tcPr>
            <w:tcW w:w="553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目测检查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安全操作规程</w:t>
            </w:r>
          </w:p>
        </w:tc>
        <w:tc>
          <w:tcPr>
            <w:tcW w:w="89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统计项</w:t>
            </w:r>
          </w:p>
        </w:tc>
        <w:tc>
          <w:tcPr>
            <w:tcW w:w="4856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kern w:val="0"/>
                <w:szCs w:val="21"/>
                <w:highlight w:val="none"/>
                <w:lang w:val="zh-C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使用单位应当制定安全操作规程，并且在本单位贯彻实施</w:t>
            </w:r>
          </w:p>
        </w:tc>
        <w:tc>
          <w:tcPr>
            <w:tcW w:w="553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查看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是否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制定安全操作规程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（纸质操作规程、海报上墙或者内部违章监督管理记录等均视为符合要求）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7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  <w:t>维保制度</w:t>
            </w:r>
          </w:p>
        </w:tc>
        <w:tc>
          <w:tcPr>
            <w:tcW w:w="89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统计项</w:t>
            </w:r>
          </w:p>
        </w:tc>
        <w:tc>
          <w:tcPr>
            <w:tcW w:w="4856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建立维护保养制度并落实实施。（所抽查设备按要求进行经常性维护保养或者定期自行检查并有记录）</w:t>
            </w:r>
          </w:p>
        </w:tc>
        <w:tc>
          <w:tcPr>
            <w:tcW w:w="553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查看维保制度，同时核查是否落实实施（如有自行检查或者维护保养记录单均视为符合要求）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07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0"/>
                <w:szCs w:val="22"/>
                <w:highlight w:val="none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2"/>
                <w:highlight w:val="none"/>
                <w:lang w:val="en-US" w:eastAsia="zh-CN" w:bidi="zh-CN"/>
              </w:rPr>
              <w:t>落实总局令第74号</w:t>
            </w:r>
          </w:p>
        </w:tc>
        <w:tc>
          <w:tcPr>
            <w:tcW w:w="89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0"/>
                <w:szCs w:val="22"/>
                <w:highlight w:val="none"/>
                <w:lang w:val="en-US" w:eastAsia="zh-CN" w:bidi="zh-CN"/>
              </w:rPr>
              <w:t>统计项</w:t>
            </w:r>
          </w:p>
        </w:tc>
        <w:tc>
          <w:tcPr>
            <w:tcW w:w="4856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注册“特设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管”小程序账号（见指引），录入三类人员信息，之后按规定落实“日管控、周排查、月调度”</w:t>
            </w:r>
          </w:p>
        </w:tc>
        <w:tc>
          <w:tcPr>
            <w:tcW w:w="553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查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看“特设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管”小程序账号截图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。对于未录入三类人员信息的单位，应现场指导使用或者指引关注我院公众号中“特设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e管”小程序使用指引内容（指导过程拍照记录）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C2.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整车外观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检查</w:t>
            </w:r>
          </w:p>
        </w:tc>
        <w:tc>
          <w:tcPr>
            <w:tcW w:w="891" w:type="dxa"/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4856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车身应当周正，各部件齐全、完整，连接紧固，无缺损</w:t>
            </w:r>
          </w:p>
        </w:tc>
        <w:tc>
          <w:tcPr>
            <w:tcW w:w="5532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按照</w:t>
            </w:r>
            <w:r>
              <w:rPr>
                <w:rFonts w:hint="eastAsia"/>
                <w:color w:val="000000" w:themeColor="text1"/>
                <w:kern w:val="0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场（厂）内专用机动车辆安全技术规程</w:t>
            </w:r>
            <w:r>
              <w:rPr>
                <w:rFonts w:hint="eastAsia"/>
                <w:color w:val="000000" w:themeColor="text1"/>
                <w:kern w:val="0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（TSG 81-2022)要求进行检验，</w:t>
            </w: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具体检验方法由监督抽查检验机构制定（下同）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0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C2.4</w:t>
            </w:r>
          </w:p>
          <w:p>
            <w:pPr>
              <w:jc w:val="center"/>
              <w:rPr>
                <w:rFonts w:ascii="宋体" w:hAnsi="宋体" w:eastAsia="宋体" w:cs="Times New Roman"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主要受力结构件检查</w:t>
            </w:r>
          </w:p>
        </w:tc>
        <w:tc>
          <w:tcPr>
            <w:tcW w:w="891" w:type="dxa"/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4856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主要受力结构件应当无明显变形、裂纹和锈蚀，螺栓等连接件不应当缺少和松动</w:t>
            </w:r>
          </w:p>
        </w:tc>
        <w:tc>
          <w:tcPr>
            <w:tcW w:w="5532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07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C2.13</w:t>
            </w:r>
          </w:p>
          <w:p>
            <w:pPr>
              <w:jc w:val="center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制动系统检查</w:t>
            </w:r>
          </w:p>
        </w:tc>
        <w:tc>
          <w:tcPr>
            <w:tcW w:w="891" w:type="dxa"/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4856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）坐驾式叉车的行车制动与驻车制动系统应当由独立的装置进行操纵</w:t>
            </w:r>
          </w:p>
        </w:tc>
        <w:tc>
          <w:tcPr>
            <w:tcW w:w="5532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071" w:type="dxa"/>
            <w:vMerge w:val="continue"/>
            <w:shd w:val="clear" w:color="auto" w:fill="auto"/>
          </w:tcPr>
          <w:p>
            <w:pPr>
              <w:jc w:val="center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4856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）驻车制动系统应当通过纯机械装置把工作部件锁止，手柄操纵的驻车制动控制装置应当有防止意外释放的功能</w:t>
            </w:r>
          </w:p>
        </w:tc>
        <w:tc>
          <w:tcPr>
            <w:tcW w:w="5532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07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C2.16</w:t>
            </w:r>
          </w:p>
          <w:p>
            <w:pPr>
              <w:jc w:val="center"/>
              <w:rPr>
                <w:rFonts w:ascii="宋体" w:hAnsi="宋体" w:eastAsia="宋体" w:cs="Times New Roman"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安全保护与防护装置检查</w:t>
            </w:r>
          </w:p>
        </w:tc>
        <w:tc>
          <w:tcPr>
            <w:tcW w:w="89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4856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color w:val="000000" w:themeColor="text1"/>
                <w:kern w:val="2"/>
                <w:sz w:val="21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）起升装置应当设置防越程装置，避免货叉架和门架上的运动部件从门架上端意外脱落</w:t>
            </w:r>
          </w:p>
        </w:tc>
        <w:tc>
          <w:tcPr>
            <w:tcW w:w="5532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071" w:type="dxa"/>
            <w:vMerge w:val="continue"/>
            <w:shd w:val="clear" w:color="auto" w:fill="auto"/>
          </w:tcPr>
          <w:p>
            <w:pPr>
              <w:jc w:val="center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4856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）乘驾式叉车应当设置由司机控制、能够发出清晰声响的警示装置（至少包括喇叭、倒车蜂鸣器），其中，设计为司机侧站或者侧坐驾驶的叉车可不设置倒车蜂鸣器</w:t>
            </w:r>
          </w:p>
        </w:tc>
        <w:tc>
          <w:tcPr>
            <w:tcW w:w="5532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2071" w:type="dxa"/>
            <w:vMerge w:val="continue"/>
            <w:shd w:val="clear" w:color="auto" w:fill="auto"/>
          </w:tcPr>
          <w:p>
            <w:pPr>
              <w:jc w:val="center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4856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）额定起重量不大于10000kg的坐驾式平衡重式叉车和侧面式叉车(单侧)应当配备司机防护约束装置(如安全带)</w:t>
            </w:r>
          </w:p>
        </w:tc>
        <w:tc>
          <w:tcPr>
            <w:tcW w:w="5532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2071" w:type="dxa"/>
            <w:vMerge w:val="continue"/>
            <w:shd w:val="clear" w:color="auto" w:fill="auto"/>
          </w:tcPr>
          <w:p>
            <w:pPr>
              <w:jc w:val="center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4856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）坐驾式平衡重式叉车和侧面式叉车应当设置后视镜，侧面式叉车货叉侧和额定起重量大于10000kg的坐驾式平衡重式叉车后方还应当设置视频监视装置</w:t>
            </w:r>
          </w:p>
        </w:tc>
        <w:tc>
          <w:tcPr>
            <w:tcW w:w="5532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07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C2.17</w:t>
            </w:r>
          </w:p>
          <w:p>
            <w:pPr>
              <w:jc w:val="center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安全监控装置检查</w:t>
            </w:r>
          </w:p>
        </w:tc>
        <w:tc>
          <w:tcPr>
            <w:tcW w:w="89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统计项</w:t>
            </w:r>
          </w:p>
        </w:tc>
        <w:tc>
          <w:tcPr>
            <w:tcW w:w="4856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（1）乘驾式电动叉车、电液换向的乘驾式内燃平衡重式叉车、电液换向的乘驾式 内燃侧面式叉车应当设置司机坐(站)姿状态感知系统，当司机不在正常操作位置时, 车辆不能进行动力运行，即使操纵载荷装卸控制装置，也不应当出现门架的倾斜和货叉架的移动；当司机回到正常操作位置，但没有进行额外操作时，动力运行、门架的 倾斜和货叉架的移动均不应当自动发生；</w:t>
            </w:r>
          </w:p>
        </w:tc>
        <w:tc>
          <w:tcPr>
            <w:tcW w:w="5532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2071" w:type="dxa"/>
            <w:vMerge w:val="continue"/>
            <w:shd w:val="clear" w:color="auto" w:fill="auto"/>
          </w:tcPr>
          <w:p>
            <w:pPr>
              <w:jc w:val="center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统计项</w:t>
            </w:r>
          </w:p>
        </w:tc>
        <w:tc>
          <w:tcPr>
            <w:tcW w:w="4856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（2）应当设置司机权限信息采集器，通过指纹、虹膜、人脸特征等生物信息或者磁卡等与个人身份信息唯一绑定的媒介，验证司机操作权限，当该采集器失效、拆除或者司机信息不正确时，车辆不能启动；</w:t>
            </w:r>
          </w:p>
        </w:tc>
        <w:tc>
          <w:tcPr>
            <w:tcW w:w="5532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Times New Roman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207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C3.5</w:t>
            </w:r>
          </w:p>
          <w:p>
            <w:pPr>
              <w:jc w:val="center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0"/>
                <w:szCs w:val="22"/>
                <w:highlight w:val="none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制动性能试验</w:t>
            </w:r>
          </w:p>
        </w:tc>
        <w:tc>
          <w:tcPr>
            <w:tcW w:w="89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4856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（1）按照GB/T 18849—2011中6.1规定的工况、试验方法和要求进行试验，检查其结果是否符合标准要求；</w:t>
            </w:r>
          </w:p>
        </w:tc>
        <w:tc>
          <w:tcPr>
            <w:tcW w:w="5532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2071" w:type="dxa"/>
            <w:vMerge w:val="continue"/>
            <w:shd w:val="clear" w:color="auto" w:fill="auto"/>
          </w:tcPr>
          <w:p>
            <w:pPr>
              <w:jc w:val="center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0"/>
                <w:szCs w:val="22"/>
                <w:highlight w:val="none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4856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）按照GB/T 18849—2011中6.2.1规定的工况、试验方法和要求进行试验，检查其结果是否符合标准要求。</w:t>
            </w:r>
          </w:p>
        </w:tc>
        <w:tc>
          <w:tcPr>
            <w:tcW w:w="5532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280" w:lineRule="exact"/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宋体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  <w:t>1、第1</w:t>
      </w:r>
      <w:r>
        <w:rPr>
          <w:rFonts w:hint="eastAsia" w:cs="宋体"/>
          <w:kern w:val="2"/>
          <w:sz w:val="21"/>
          <w:szCs w:val="21"/>
          <w:highlight w:val="none"/>
          <w:lang w:val="en-US" w:eastAsia="zh-CN" w:bidi="ar-SA"/>
        </w:rPr>
        <w:t>、2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  <w:t>项的项目内容与</w:t>
      </w:r>
      <w:r>
        <w:rPr>
          <w:rFonts w:hint="eastAsia" w:cs="宋体"/>
          <w:kern w:val="2"/>
          <w:sz w:val="21"/>
          <w:szCs w:val="21"/>
          <w:highlight w:val="none"/>
          <w:lang w:val="en-US" w:eastAsia="zh-CN" w:bidi="ar-SA"/>
        </w:rPr>
        <w:t>《</w:t>
      </w:r>
      <w:r>
        <w:rPr>
          <w:rFonts w:hint="eastAsia" w:ascii="宋体" w:hAnsi="宋体"/>
          <w:color w:val="000000"/>
          <w:kern w:val="0"/>
          <w:szCs w:val="21"/>
          <w:highlight w:val="none"/>
        </w:rPr>
        <w:t>特种设备使用管理规则</w:t>
      </w:r>
      <w:r>
        <w:rPr>
          <w:rFonts w:hint="eastAsia"/>
          <w:color w:val="000000"/>
          <w:kern w:val="0"/>
          <w:szCs w:val="21"/>
          <w:highlight w:val="none"/>
          <w:lang w:eastAsia="zh-CN"/>
        </w:rPr>
        <w:t>》</w:t>
      </w:r>
      <w:r>
        <w:rPr>
          <w:rFonts w:hint="eastAsia" w:ascii="宋体" w:hAnsi="宋体"/>
          <w:color w:val="000000"/>
          <w:kern w:val="0"/>
          <w:szCs w:val="21"/>
          <w:highlight w:val="none"/>
        </w:rPr>
        <w:t>（TSG 08-2017）</w:t>
      </w:r>
      <w:r>
        <w:rPr>
          <w:rFonts w:hint="eastAsia"/>
          <w:color w:val="000000"/>
          <w:kern w:val="0"/>
          <w:szCs w:val="21"/>
          <w:highlight w:val="none"/>
          <w:lang w:eastAsia="zh-CN"/>
        </w:rPr>
        <w:t>中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  <w:t>对作业人员的要求相对应；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exact"/>
        <w:ind w:left="0" w:leftChars="0" w:right="0" w:firstLine="420" w:firstLineChars="200"/>
        <w:jc w:val="left"/>
        <w:textAlignment w:val="auto"/>
        <w:rPr>
          <w:rFonts w:hint="eastAsia" w:ascii="宋体" w:hAnsi="宋体" w:eastAsia="宋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第3项的项目内容与《特种设备安全法》第三十三条和第四十条相关内容相对应；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exact"/>
        <w:ind w:left="0" w:leftChars="0" w:right="0" w:firstLine="420" w:firstLineChars="200"/>
        <w:jc w:val="left"/>
        <w:textAlignment w:val="auto"/>
        <w:rPr>
          <w:rFonts w:hint="eastAsia" w:ascii="宋体" w:hAnsi="宋体" w:eastAsia="宋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第</w:t>
      </w:r>
      <w:r>
        <w:rPr>
          <w:rFonts w:hint="eastAsia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4</w:t>
      </w:r>
      <w:r>
        <w:rPr>
          <w:rFonts w:hint="eastAsia" w:ascii="宋体" w:hAnsi="宋体" w:eastAsia="宋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项的项目内容对应《场（厂）内专用机动车辆安全技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  <w:t>术规程》（</w:t>
      </w:r>
      <w:r>
        <w:rPr>
          <w:rFonts w:hint="default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  <w:t>TSG 81-2022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  <w:t>）</w:t>
      </w:r>
      <w:r>
        <w:rPr>
          <w:rFonts w:hint="default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  <w:t>5.1.4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  <w:t>条内容相对应；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exact"/>
        <w:ind w:left="0" w:leftChars="0" w:right="0" w:firstLine="420" w:firstLineChars="200"/>
        <w:jc w:val="left"/>
        <w:textAlignment w:val="auto"/>
        <w:rPr>
          <w:rFonts w:hint="eastAsia" w:ascii="宋体" w:hAnsi="宋体" w:eastAsia="宋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  <w:t>第</w:t>
      </w:r>
      <w:r>
        <w:rPr>
          <w:rFonts w:hint="eastAsia" w:cs="宋体"/>
          <w:kern w:val="2"/>
          <w:sz w:val="21"/>
          <w:szCs w:val="21"/>
          <w:highlight w:val="none"/>
          <w:lang w:val="en-US" w:eastAsia="zh-CN" w:bidi="ar-SA"/>
        </w:rPr>
        <w:t>5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  <w:t>项的项目</w:t>
      </w:r>
      <w:r>
        <w:rPr>
          <w:rFonts w:hint="eastAsia" w:ascii="宋体" w:hAnsi="宋体" w:eastAsia="宋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内容与</w:t>
      </w:r>
      <w:r>
        <w:rPr>
          <w:rFonts w:hint="eastAsia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《</w:t>
      </w:r>
      <w:r>
        <w:rPr>
          <w:rFonts w:hint="eastAsia" w:ascii="宋体" w:hAnsi="宋体" w:eastAsia="宋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特种设备使用管理规则</w:t>
      </w:r>
      <w:r>
        <w:rPr>
          <w:rFonts w:hint="eastAsia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》</w:t>
      </w:r>
      <w:r>
        <w:rPr>
          <w:rFonts w:hint="eastAsia" w:ascii="宋体" w:hAnsi="宋体" w:eastAsia="宋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（TSG 08-2017）中对</w:t>
      </w:r>
      <w:r>
        <w:rPr>
          <w:rFonts w:hint="eastAsia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管理制度的要求</w:t>
      </w:r>
      <w:r>
        <w:rPr>
          <w:rFonts w:hint="eastAsia" w:ascii="宋体" w:hAnsi="宋体" w:eastAsia="宋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相对应；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exact"/>
        <w:ind w:left="0" w:leftChars="0" w:right="0"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第6项的项目内容与要求与《特种设备使用单位落实使用安全主体责任监督管理规定》（总局令第74号）的要求相对应；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exact"/>
        <w:ind w:left="0" w:leftChars="0" w:right="0"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  <w:t>其余检验项目对应《场（厂）内专用机动车辆安全技术规程》（</w:t>
      </w:r>
      <w:r>
        <w:rPr>
          <w:rFonts w:hint="default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  <w:t>TSG 81-2022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  <w:t>）的附件</w:t>
      </w:r>
      <w:r>
        <w:rPr>
          <w:rFonts w:hint="default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  <w:t>C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  <w:t>《叉车检验项目及其内容、方法和要求》。</w:t>
      </w:r>
    </w:p>
    <w:p>
      <w:pPr>
        <w:rPr>
          <w:rFonts w:cs="宋体"/>
          <w:szCs w:val="21"/>
          <w:highlight w:val="none"/>
        </w:rPr>
      </w:pPr>
    </w:p>
    <w:p>
      <w:pPr>
        <w:rPr>
          <w:rFonts w:cs="宋体"/>
          <w:szCs w:val="21"/>
          <w:highlight w:val="none"/>
        </w:rPr>
      </w:pPr>
    </w:p>
    <w:p>
      <w:pPr>
        <w:spacing w:line="264" w:lineRule="auto"/>
        <w:ind w:firstLine="630" w:firstLineChars="300"/>
        <w:jc w:val="left"/>
        <w:rPr>
          <w:rFonts w:cs="宋体"/>
          <w:szCs w:val="21"/>
          <w:highlight w:val="none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B17AA8"/>
    <w:multiLevelType w:val="multilevel"/>
    <w:tmpl w:val="57B17AA8"/>
    <w:lvl w:ilvl="0" w:tentative="0">
      <w:start w:val="2"/>
      <w:numFmt w:val="decimal"/>
      <w:suff w:val="nothing"/>
      <w:lvlText w:val="%1、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723D6339"/>
    <w:multiLevelType w:val="multilevel"/>
    <w:tmpl w:val="723D6339"/>
    <w:lvl w:ilvl="0" w:tentative="0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hM2NiOWQyODZhYzg4ZjA5YmY0OTEzN2ZlNDhhZjEifQ=="/>
  </w:docVars>
  <w:rsids>
    <w:rsidRoot w:val="00954886"/>
    <w:rsid w:val="0004453C"/>
    <w:rsid w:val="000A2429"/>
    <w:rsid w:val="000C7D44"/>
    <w:rsid w:val="000E0B06"/>
    <w:rsid w:val="00120B54"/>
    <w:rsid w:val="00132DD9"/>
    <w:rsid w:val="001A6151"/>
    <w:rsid w:val="001C6F70"/>
    <w:rsid w:val="00322FC9"/>
    <w:rsid w:val="00433DE5"/>
    <w:rsid w:val="00436D81"/>
    <w:rsid w:val="00454FF0"/>
    <w:rsid w:val="00455673"/>
    <w:rsid w:val="004948FC"/>
    <w:rsid w:val="00503993"/>
    <w:rsid w:val="00507CA7"/>
    <w:rsid w:val="00533024"/>
    <w:rsid w:val="00592FDF"/>
    <w:rsid w:val="005A3861"/>
    <w:rsid w:val="005A5D15"/>
    <w:rsid w:val="005D63E7"/>
    <w:rsid w:val="006600E3"/>
    <w:rsid w:val="00685E9F"/>
    <w:rsid w:val="006A7676"/>
    <w:rsid w:val="006C55DD"/>
    <w:rsid w:val="006F42F3"/>
    <w:rsid w:val="00723BC2"/>
    <w:rsid w:val="00790E6B"/>
    <w:rsid w:val="007A1648"/>
    <w:rsid w:val="007C3919"/>
    <w:rsid w:val="008024B9"/>
    <w:rsid w:val="00812E77"/>
    <w:rsid w:val="008252F3"/>
    <w:rsid w:val="008B2A74"/>
    <w:rsid w:val="008C38F9"/>
    <w:rsid w:val="00936CC2"/>
    <w:rsid w:val="00954886"/>
    <w:rsid w:val="0099269D"/>
    <w:rsid w:val="009A1B87"/>
    <w:rsid w:val="009D5D77"/>
    <w:rsid w:val="009F2E47"/>
    <w:rsid w:val="00A044BC"/>
    <w:rsid w:val="00AB11FA"/>
    <w:rsid w:val="00AB339B"/>
    <w:rsid w:val="00AD4A29"/>
    <w:rsid w:val="00CA16D2"/>
    <w:rsid w:val="00D51D16"/>
    <w:rsid w:val="00D81409"/>
    <w:rsid w:val="00E11B74"/>
    <w:rsid w:val="00E3006A"/>
    <w:rsid w:val="00EE5AC9"/>
    <w:rsid w:val="00F205ED"/>
    <w:rsid w:val="00F42723"/>
    <w:rsid w:val="00F667CC"/>
    <w:rsid w:val="00F72273"/>
    <w:rsid w:val="00F75829"/>
    <w:rsid w:val="00F90B88"/>
    <w:rsid w:val="077C4041"/>
    <w:rsid w:val="08FF094D"/>
    <w:rsid w:val="096D3B08"/>
    <w:rsid w:val="0A5D1DCF"/>
    <w:rsid w:val="1496451C"/>
    <w:rsid w:val="191550A7"/>
    <w:rsid w:val="1A3441CE"/>
    <w:rsid w:val="1CF47D55"/>
    <w:rsid w:val="21A47E8B"/>
    <w:rsid w:val="25A317C7"/>
    <w:rsid w:val="26AD236F"/>
    <w:rsid w:val="277868EE"/>
    <w:rsid w:val="277C5F13"/>
    <w:rsid w:val="305F6E3B"/>
    <w:rsid w:val="315C5AB4"/>
    <w:rsid w:val="357C6CFE"/>
    <w:rsid w:val="35D00DF7"/>
    <w:rsid w:val="36F9793E"/>
    <w:rsid w:val="3DC27856"/>
    <w:rsid w:val="41257A96"/>
    <w:rsid w:val="44555869"/>
    <w:rsid w:val="46857AB3"/>
    <w:rsid w:val="492B6619"/>
    <w:rsid w:val="4C87549D"/>
    <w:rsid w:val="58831FCD"/>
    <w:rsid w:val="58DC1BAB"/>
    <w:rsid w:val="5A130C2C"/>
    <w:rsid w:val="5BC44825"/>
    <w:rsid w:val="5D760254"/>
    <w:rsid w:val="5D773798"/>
    <w:rsid w:val="5E9071F2"/>
    <w:rsid w:val="5F117C07"/>
    <w:rsid w:val="605B55DE"/>
    <w:rsid w:val="61371BA7"/>
    <w:rsid w:val="634C715B"/>
    <w:rsid w:val="66C043ED"/>
    <w:rsid w:val="696809E8"/>
    <w:rsid w:val="6FFB8387"/>
    <w:rsid w:val="7AAD4830"/>
    <w:rsid w:val="7C6B0EEA"/>
    <w:rsid w:val="7DEC38C1"/>
    <w:rsid w:val="7DFFFE43"/>
    <w:rsid w:val="7F6D37E3"/>
    <w:rsid w:val="DB7F2C35"/>
    <w:rsid w:val="DCF9BA89"/>
    <w:rsid w:val="EC67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qFormat="1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link w:val="14"/>
    <w:qFormat/>
    <w:uiPriority w:val="9"/>
    <w:pPr>
      <w:spacing w:before="340" w:after="330"/>
      <w:ind w:firstLine="3520" w:firstLineChars="800"/>
    </w:pPr>
    <w:rPr>
      <w:rFonts w:eastAsia="方正小标宋简体"/>
      <w:b w:val="0"/>
      <w:bCs w:val="0"/>
      <w:kern w:val="0"/>
      <w:sz w:val="44"/>
      <w:szCs w:val="44"/>
    </w:rPr>
  </w:style>
  <w:style w:type="paragraph" w:styleId="4">
    <w:name w:val="heading 2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16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Cs w:val="32"/>
    </w:rPr>
  </w:style>
  <w:style w:type="paragraph" w:styleId="5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7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Subtitle"/>
    <w:basedOn w:val="2"/>
    <w:next w:val="4"/>
    <w:link w:val="17"/>
    <w:qFormat/>
    <w:uiPriority w:val="11"/>
    <w:pPr>
      <w:spacing w:before="0" w:after="0" w:line="560" w:lineRule="exact"/>
      <w:ind w:firstLine="200" w:firstLineChars="200"/>
      <w:jc w:val="left"/>
      <w:outlineLvl w:val="1"/>
    </w:pPr>
    <w:rPr>
      <w:rFonts w:eastAsia="黑体"/>
      <w:bCs/>
      <w:color w:val="000000" w:themeColor="text1"/>
      <w:szCs w:val="32"/>
      <w14:textFill>
        <w14:solidFill>
          <w14:schemeClr w14:val="tx1"/>
        </w14:solidFill>
      </w14:textFill>
    </w:rPr>
  </w:style>
  <w:style w:type="paragraph" w:styleId="9">
    <w:name w:val="Body Text Indent 3"/>
    <w:basedOn w:val="1"/>
    <w:link w:val="21"/>
    <w:unhideWhenUsed/>
    <w:qFormat/>
    <w:uiPriority w:val="0"/>
    <w:pPr>
      <w:spacing w:line="360" w:lineRule="atLeast"/>
      <w:ind w:firstLine="480" w:firstLineChars="200"/>
      <w:jc w:val="left"/>
    </w:pPr>
    <w:rPr>
      <w:rFonts w:ascii="仿宋_GB2312" w:hAnsi="Times New Roman" w:eastAsia="仿宋_GB2312"/>
      <w:sz w:val="24"/>
      <w:szCs w:val="20"/>
    </w:rPr>
  </w:style>
  <w:style w:type="paragraph" w:styleId="10">
    <w:name w:val="Body Text 2"/>
    <w:basedOn w:val="1"/>
    <w:qFormat/>
    <w:uiPriority w:val="0"/>
    <w:pPr>
      <w:spacing w:line="360" w:lineRule="auto"/>
    </w:pPr>
    <w:rPr>
      <w:sz w:val="24"/>
    </w:rPr>
  </w:style>
  <w:style w:type="paragraph" w:styleId="11">
    <w:name w:val="Normal (Web)"/>
    <w:basedOn w:val="1"/>
    <w:qFormat/>
    <w:uiPriority w:val="0"/>
    <w:rPr>
      <w:sz w:val="24"/>
    </w:rPr>
  </w:style>
  <w:style w:type="character" w:customStyle="1" w:styleId="14">
    <w:name w:val="标题 1 字符"/>
    <w:basedOn w:val="13"/>
    <w:link w:val="2"/>
    <w:qFormat/>
    <w:uiPriority w:val="9"/>
    <w:rPr>
      <w:color w:val="auto"/>
      <w:kern w:val="0"/>
    </w:rPr>
  </w:style>
  <w:style w:type="character" w:customStyle="1" w:styleId="15">
    <w:name w:val="标题 2 字符"/>
    <w:basedOn w:val="13"/>
    <w:link w:val="4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6">
    <w:name w:val="标题 字符"/>
    <w:basedOn w:val="13"/>
    <w:link w:val="3"/>
    <w:qFormat/>
    <w:uiPriority w:val="10"/>
    <w:rPr>
      <w:rFonts w:eastAsia="宋体" w:asciiTheme="majorHAnsi" w:hAnsiTheme="majorHAnsi" w:cstheme="majorBidi"/>
      <w:b/>
      <w:bCs/>
      <w:szCs w:val="32"/>
    </w:rPr>
  </w:style>
  <w:style w:type="character" w:customStyle="1" w:styleId="17">
    <w:name w:val="副标题 字符"/>
    <w:basedOn w:val="13"/>
    <w:link w:val="8"/>
    <w:qFormat/>
    <w:uiPriority w:val="11"/>
    <w:rPr>
      <w:rFonts w:eastAsia="黑体" w:asciiTheme="majorHAnsi" w:hAnsiTheme="majorHAnsi" w:cstheme="majorBidi"/>
      <w:bCs/>
      <w:color w:val="000000" w:themeColor="text1"/>
      <w:kern w:val="0"/>
      <w:szCs w:val="32"/>
      <w14:textFill>
        <w14:solidFill>
          <w14:schemeClr w14:val="tx1"/>
        </w14:solidFill>
      </w14:textFill>
    </w:rPr>
  </w:style>
  <w:style w:type="paragraph" w:customStyle="1" w:styleId="18">
    <w:name w:val="二级标题"/>
    <w:basedOn w:val="4"/>
    <w:next w:val="1"/>
    <w:qFormat/>
    <w:uiPriority w:val="0"/>
    <w:pPr>
      <w:spacing w:before="0" w:after="0" w:line="560" w:lineRule="exact"/>
    </w:pPr>
    <w:rPr>
      <w:rFonts w:eastAsia="楷体_GB2312"/>
      <w:b w:val="0"/>
    </w:rPr>
  </w:style>
  <w:style w:type="character" w:customStyle="1" w:styleId="19">
    <w:name w:val="页眉 字符"/>
    <w:basedOn w:val="13"/>
    <w:link w:val="7"/>
    <w:qFormat/>
    <w:uiPriority w:val="99"/>
    <w:rPr>
      <w:rFonts w:ascii="仿宋" w:hAnsi="仿宋" w:eastAsia="仿宋_GB2312" w:cstheme="minorBidi"/>
      <w:color w:val="auto"/>
      <w:kern w:val="2"/>
      <w:sz w:val="18"/>
      <w:szCs w:val="18"/>
    </w:rPr>
  </w:style>
  <w:style w:type="character" w:customStyle="1" w:styleId="20">
    <w:name w:val="页脚 字符"/>
    <w:basedOn w:val="13"/>
    <w:link w:val="6"/>
    <w:qFormat/>
    <w:uiPriority w:val="99"/>
    <w:rPr>
      <w:rFonts w:ascii="仿宋" w:hAnsi="仿宋" w:eastAsia="仿宋_GB2312" w:cstheme="minorBidi"/>
      <w:color w:val="auto"/>
      <w:kern w:val="2"/>
      <w:sz w:val="18"/>
      <w:szCs w:val="18"/>
    </w:rPr>
  </w:style>
  <w:style w:type="character" w:customStyle="1" w:styleId="21">
    <w:name w:val="正文文本缩进 3 字符"/>
    <w:basedOn w:val="13"/>
    <w:link w:val="9"/>
    <w:qFormat/>
    <w:uiPriority w:val="0"/>
    <w:rPr>
      <w:rFonts w:ascii="仿宋_GB2312" w:hAnsi="Times New Roman" w:eastAsia="仿宋_GB2312" w:cs="Times New Roman"/>
      <w:color w:val="auto"/>
      <w:kern w:val="2"/>
      <w:sz w:val="24"/>
      <w:szCs w:val="20"/>
    </w:r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批注框文本 字符"/>
    <w:basedOn w:val="13"/>
    <w:link w:val="5"/>
    <w:semiHidden/>
    <w:qFormat/>
    <w:uiPriority w:val="99"/>
    <w:rPr>
      <w:rFonts w:ascii="宋体" w:hAnsi="宋体" w:eastAsia="宋体" w:cs="Times New Roman"/>
      <w:color w:val="auto"/>
      <w:kern w:val="2"/>
      <w:sz w:val="18"/>
      <w:szCs w:val="18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paragraph" w:customStyle="1" w:styleId="25">
    <w:name w:val="Other|1"/>
    <w:basedOn w:val="1"/>
    <w:qFormat/>
    <w:uiPriority w:val="0"/>
    <w:pPr>
      <w:spacing w:line="388" w:lineRule="auto"/>
      <w:ind w:firstLine="400"/>
      <w:jc w:val="left"/>
    </w:pPr>
    <w:rPr>
      <w:rFonts w:ascii="宋体" w:hAnsi="宋体" w:cs="宋体"/>
      <w:color w:val="000000"/>
    </w:rPr>
  </w:style>
  <w:style w:type="paragraph" w:customStyle="1" w:styleId="2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1650</Words>
  <Characters>1770</Characters>
  <Lines>57</Lines>
  <Paragraphs>16</Paragraphs>
  <TotalTime>2</TotalTime>
  <ScaleCrop>false</ScaleCrop>
  <LinksUpToDate>false</LinksUpToDate>
  <CharactersWithSpaces>1780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2021-08-03T16:51:00Z</dcterms:created>
  <dc:creator>徐振</dc:creator>
  <cp:lastModifiedBy>gaowt</cp:lastModifiedBy>
  <cp:lastPrinted>2023-06-30T14:41:00Z</cp:lastPrinted>
  <dcterms:modified xsi:type="dcterms:W3CDTF">2023-07-20T10:54:46Z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66C7CFB5EF68A28C3D7FB76476B1823E</vt:lpwstr>
  </property>
</Properties>
</file>