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Lines="-2147483648" w:afterLines="-2147483648"/>
        <w:jc w:val="left"/>
        <w:rPr>
          <w:rFonts w:ascii="方正小标宋简体" w:eastAsia="方正小标宋简体" w:hAnsiTheme="minorEastAsia"/>
          <w:b w:val="0"/>
          <w:bCs/>
          <w:sz w:val="44"/>
          <w:szCs w:val="44"/>
        </w:rPr>
      </w:pPr>
      <w:r>
        <w:rPr>
          <w:rFonts w:hint="eastAsia" w:ascii="黑体" w:hAnsi="黑体" w:eastAsia="黑体"/>
          <w:sz w:val="32"/>
          <w:szCs w:val="32"/>
        </w:rPr>
        <w:t>附件</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2023年深圳市市场监督管理局知识产权领域专项资金版权创新发展基地培育资助等促进类评审制项目拟资助</w:t>
      </w:r>
      <w:r>
        <w:rPr>
          <w:rFonts w:hint="eastAsia" w:ascii="方正小标宋简体" w:hAnsi="方正小标宋简体" w:eastAsia="方正小标宋简体" w:cs="方正小标宋简体"/>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CESI仿宋-GB2312" w:hAnsi="CESI仿宋-GB2312" w:eastAsia="CESI仿宋-GB2312" w:cs="CESI仿宋-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知识产权培训资助项目</w:t>
      </w:r>
    </w:p>
    <w:tbl>
      <w:tblPr>
        <w:tblStyle w:val="5"/>
        <w:tblW w:w="9921" w:type="dxa"/>
        <w:jc w:val="center"/>
        <w:shd w:val="clear" w:color="auto" w:fill="auto"/>
        <w:tblLayout w:type="fixed"/>
        <w:tblCellMar>
          <w:top w:w="0" w:type="dxa"/>
          <w:left w:w="0" w:type="dxa"/>
          <w:bottom w:w="0" w:type="dxa"/>
          <w:right w:w="0" w:type="dxa"/>
        </w:tblCellMar>
      </w:tblPr>
      <w:tblGrid>
        <w:gridCol w:w="764"/>
        <w:gridCol w:w="3044"/>
        <w:gridCol w:w="2987"/>
        <w:gridCol w:w="1563"/>
        <w:gridCol w:w="1563"/>
      </w:tblGrid>
      <w:tr>
        <w:tblPrEx>
          <w:tblCellMar>
            <w:top w:w="0" w:type="dxa"/>
            <w:left w:w="0" w:type="dxa"/>
            <w:bottom w:w="0" w:type="dxa"/>
            <w:right w:w="0" w:type="dxa"/>
          </w:tblCellMar>
        </w:tblPrEx>
        <w:trPr>
          <w:trHeight w:val="72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jc w:val="center"/>
              <w:textAlignment w:val="center"/>
              <w:rPr>
                <w:rFonts w:hint="eastAsia" w:ascii="CESI仿宋-GB2312" w:hAnsi="CESI仿宋-GB2312" w:eastAsia="CESI仿宋-GB2312" w:cs="CESI仿宋-GB2312"/>
                <w:b/>
                <w:bCs w:val="0"/>
                <w:i w:val="0"/>
                <w:color w:val="000000"/>
                <w:sz w:val="28"/>
                <w:szCs w:val="28"/>
                <w:u w:val="none"/>
              </w:rPr>
            </w:pPr>
            <w:r>
              <w:rPr>
                <w:rFonts w:hint="eastAsia" w:ascii="CESI仿宋-GB2312" w:hAnsi="CESI仿宋-GB2312" w:eastAsia="CESI仿宋-GB2312" w:cs="CESI仿宋-GB2312"/>
                <w:b/>
                <w:bCs w:val="0"/>
                <w:i w:val="0"/>
                <w:color w:val="000000"/>
                <w:kern w:val="0"/>
                <w:sz w:val="28"/>
                <w:szCs w:val="28"/>
                <w:u w:val="none"/>
                <w:lang w:val="en-US" w:eastAsia="zh-CN" w:bidi="ar"/>
              </w:rPr>
              <w:t>序号</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jc w:val="center"/>
              <w:textAlignment w:val="center"/>
              <w:rPr>
                <w:rFonts w:hint="default" w:ascii="CESI仿宋-GB2312" w:hAnsi="CESI仿宋-GB2312" w:eastAsia="CESI仿宋-GB2312" w:cs="CESI仿宋-GB2312"/>
                <w:b/>
                <w:bCs w:val="0"/>
                <w:i w:val="0"/>
                <w:color w:val="000000"/>
                <w:sz w:val="28"/>
                <w:szCs w:val="28"/>
                <w:u w:val="none"/>
              </w:rPr>
            </w:pPr>
            <w:r>
              <w:rPr>
                <w:rFonts w:hint="default" w:ascii="CESI仿宋-GB2312" w:hAnsi="CESI仿宋-GB2312" w:eastAsia="CESI仿宋-GB2312" w:cs="CESI仿宋-GB2312"/>
                <w:b/>
                <w:bCs w:val="0"/>
                <w:i w:val="0"/>
                <w:color w:val="000000"/>
                <w:sz w:val="28"/>
                <w:szCs w:val="28"/>
                <w:u w:val="none"/>
              </w:rPr>
              <w:t>拟资助单位</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jc w:val="center"/>
              <w:textAlignment w:val="center"/>
              <w:rPr>
                <w:rFonts w:hint="default" w:ascii="CESI仿宋-GB2312" w:hAnsi="CESI仿宋-GB2312" w:eastAsia="CESI仿宋-GB2312" w:cs="CESI仿宋-GB2312"/>
                <w:b/>
                <w:bCs w:val="0"/>
                <w:i w:val="0"/>
                <w:color w:val="000000"/>
                <w:sz w:val="28"/>
                <w:szCs w:val="28"/>
                <w:u w:val="none"/>
              </w:rPr>
            </w:pPr>
            <w:r>
              <w:rPr>
                <w:rFonts w:hint="default" w:ascii="CESI仿宋-GB2312" w:hAnsi="CESI仿宋-GB2312" w:eastAsia="CESI仿宋-GB2312" w:cs="CESI仿宋-GB2312"/>
                <w:b/>
                <w:bCs w:val="0"/>
                <w:i w:val="0"/>
                <w:color w:val="000000"/>
                <w:kern w:val="0"/>
                <w:sz w:val="28"/>
                <w:szCs w:val="28"/>
                <w:u w:val="none"/>
                <w:lang w:eastAsia="zh-CN" w:bidi="ar"/>
              </w:rPr>
              <w:t>培训方向</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jc w:val="center"/>
              <w:textAlignment w:val="center"/>
              <w:rPr>
                <w:rFonts w:hint="default" w:ascii="CESI仿宋-GB2312" w:hAnsi="CESI仿宋-GB2312" w:eastAsia="CESI仿宋-GB2312" w:cs="CESI仿宋-GB2312"/>
                <w:b/>
                <w:bCs w:val="0"/>
                <w:i w:val="0"/>
                <w:color w:val="000000"/>
                <w:kern w:val="0"/>
                <w:sz w:val="28"/>
                <w:szCs w:val="28"/>
                <w:u w:val="none"/>
                <w:lang w:eastAsia="zh-CN" w:bidi="ar"/>
              </w:rPr>
            </w:pPr>
            <w:r>
              <w:rPr>
                <w:rFonts w:hint="default" w:ascii="CESI仿宋-GB2312" w:hAnsi="CESI仿宋-GB2312" w:eastAsia="CESI仿宋-GB2312" w:cs="CESI仿宋-GB2312"/>
                <w:b/>
                <w:bCs w:val="0"/>
                <w:i w:val="0"/>
                <w:color w:val="000000"/>
                <w:kern w:val="0"/>
                <w:sz w:val="28"/>
                <w:szCs w:val="28"/>
                <w:u w:val="none"/>
                <w:lang w:eastAsia="zh-CN" w:bidi="ar"/>
              </w:rPr>
              <w:t>业务类别</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napToGrid w:val="0"/>
              <w:jc w:val="center"/>
              <w:textAlignment w:val="center"/>
              <w:rPr>
                <w:rFonts w:hint="default" w:ascii="CESI仿宋-GB2312" w:hAnsi="CESI仿宋-GB2312" w:eastAsia="CESI仿宋-GB2312" w:cs="CESI仿宋-GB2312"/>
                <w:b/>
                <w:bCs w:val="0"/>
                <w:i w:val="0"/>
                <w:color w:val="000000"/>
                <w:kern w:val="0"/>
                <w:sz w:val="28"/>
                <w:szCs w:val="28"/>
                <w:u w:val="none"/>
                <w:lang w:eastAsia="zh-CN" w:bidi="ar"/>
              </w:rPr>
            </w:pPr>
            <w:r>
              <w:rPr>
                <w:rFonts w:hint="default" w:ascii="CESI仿宋-GB2312" w:hAnsi="CESI仿宋-GB2312" w:eastAsia="CESI仿宋-GB2312" w:cs="CESI仿宋-GB2312"/>
                <w:b/>
                <w:bCs w:val="0"/>
                <w:i w:val="0"/>
                <w:color w:val="000000"/>
                <w:kern w:val="0"/>
                <w:sz w:val="28"/>
                <w:szCs w:val="28"/>
                <w:u w:val="none"/>
                <w:lang w:eastAsia="zh-CN" w:bidi="ar"/>
              </w:rPr>
              <w:t>拟资助金额（万元）</w:t>
            </w:r>
          </w:p>
        </w:tc>
      </w:tr>
      <w:tr>
        <w:tblPrEx>
          <w:tblCellMar>
            <w:top w:w="0" w:type="dxa"/>
            <w:left w:w="0" w:type="dxa"/>
            <w:bottom w:w="0" w:type="dxa"/>
            <w:right w:w="0" w:type="dxa"/>
          </w:tblCellMar>
        </w:tblPrEx>
        <w:trPr>
          <w:trHeight w:val="8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1</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深圳华夏泰和知识产权有限公司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w:t>
            </w:r>
            <w:r>
              <w:rPr>
                <w:rFonts w:hint="default" w:ascii="仿宋" w:hAnsi="仿宋" w:eastAsia="仿宋" w:cs="仿宋"/>
                <w:b w:val="0"/>
                <w:bCs w:val="0"/>
                <w:i w:val="0"/>
                <w:iCs w:val="0"/>
                <w:snapToGrid w:val="0"/>
                <w:color w:val="000000"/>
                <w:kern w:val="0"/>
                <w:sz w:val="22"/>
                <w:szCs w:val="22"/>
                <w:highlight w:val="none"/>
                <w:u w:val="none"/>
                <w:lang w:eastAsia="zh-CN" w:bidi="ar"/>
              </w:rPr>
              <w:t>0</w:t>
            </w:r>
          </w:p>
        </w:tc>
      </w:tr>
      <w:tr>
        <w:tblPrEx>
          <w:shd w:val="clear" w:color="auto" w:fill="auto"/>
          <w:tblCellMar>
            <w:top w:w="0" w:type="dxa"/>
            <w:left w:w="0" w:type="dxa"/>
            <w:bottom w:w="0" w:type="dxa"/>
            <w:right w:w="0" w:type="dxa"/>
          </w:tblCellMar>
        </w:tblPrEx>
        <w:trPr>
          <w:trHeight w:val="8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2</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深圳新创友知识产权代理有限公司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w:t>
            </w:r>
            <w:r>
              <w:rPr>
                <w:rFonts w:hint="default" w:ascii="仿宋" w:hAnsi="仿宋" w:eastAsia="仿宋" w:cs="仿宋"/>
                <w:b w:val="0"/>
                <w:bCs w:val="0"/>
                <w:i w:val="0"/>
                <w:iCs w:val="0"/>
                <w:snapToGrid w:val="0"/>
                <w:color w:val="000000"/>
                <w:kern w:val="0"/>
                <w:sz w:val="22"/>
                <w:szCs w:val="22"/>
                <w:highlight w:val="none"/>
                <w:u w:val="none"/>
                <w:lang w:eastAsia="zh-CN" w:bidi="ar"/>
              </w:rPr>
              <w:t>0</w:t>
            </w:r>
          </w:p>
        </w:tc>
      </w:tr>
      <w:tr>
        <w:tblPrEx>
          <w:shd w:val="clear" w:color="auto" w:fill="auto"/>
          <w:tblCellMar>
            <w:top w:w="0" w:type="dxa"/>
            <w:left w:w="0" w:type="dxa"/>
            <w:bottom w:w="0" w:type="dxa"/>
            <w:right w:w="0" w:type="dxa"/>
          </w:tblCellMar>
        </w:tblPrEx>
        <w:trPr>
          <w:trHeight w:val="98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3</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深圳市版权协会</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2023年软件正版化工作培训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4</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深圳市专利协会</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4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color w:val="000000"/>
                <w:kern w:val="0"/>
                <w:sz w:val="28"/>
                <w:szCs w:val="28"/>
                <w:lang w:val="en-US" w:eastAsia="zh-CN"/>
              </w:rPr>
            </w:pPr>
            <w:r>
              <w:rPr>
                <w:rFonts w:hint="eastAsia" w:ascii="CESI仿宋-GB2312" w:hAnsi="CESI仿宋-GB2312" w:eastAsia="CESI仿宋-GB2312" w:cs="CESI仿宋-GB2312"/>
                <w:color w:val="000000"/>
                <w:kern w:val="0"/>
                <w:sz w:val="28"/>
                <w:szCs w:val="28"/>
                <w:lang w:val="en-US" w:eastAsia="zh-CN"/>
              </w:rPr>
              <w:t>5</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港知交所（深圳）有限公司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20</w:t>
            </w:r>
          </w:p>
        </w:tc>
      </w:tr>
      <w:tr>
        <w:tblPrEx>
          <w:shd w:val="clear" w:color="auto" w:fill="auto"/>
          <w:tblCellMar>
            <w:top w:w="0" w:type="dxa"/>
            <w:left w:w="0" w:type="dxa"/>
            <w:bottom w:w="0" w:type="dxa"/>
            <w:right w:w="0" w:type="dxa"/>
          </w:tblCellMar>
        </w:tblPrEx>
        <w:trPr>
          <w:trHeight w:val="76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6</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国任财产保险股份有限公司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知识产权质押融资惠企培训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76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7</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深圳市力道知识产权代理事务所（普通合伙）</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72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8</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深圳峰创智诚科技有限公司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eastAsia" w:ascii="CESI仿宋-GB2312" w:hAnsi="CESI仿宋-GB2312" w:eastAsia="CESI仿宋-GB2312" w:cs="CESI仿宋-GB2312"/>
                <w:i w:val="0"/>
                <w:color w:val="000000"/>
                <w:sz w:val="28"/>
                <w:szCs w:val="28"/>
                <w:u w:val="none"/>
              </w:rPr>
            </w:pPr>
            <w:r>
              <w:rPr>
                <w:rFonts w:hint="eastAsia" w:ascii="CESI仿宋-GB2312" w:hAnsi="CESI仿宋-GB2312" w:eastAsia="CESI仿宋-GB2312" w:cs="CESI仿宋-GB2312"/>
                <w:color w:val="000000"/>
                <w:kern w:val="0"/>
                <w:sz w:val="28"/>
                <w:szCs w:val="28"/>
                <w:lang w:val="en-US" w:eastAsia="zh-CN"/>
              </w:rPr>
              <w:t>9</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深圳市商标协会</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商标注册申请相关业务培训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10</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深圳市赛恩倍吉知识产权代理有限公司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高价值知识产权培育与服务培训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促进类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val="en-US" w:eastAsia="zh-CN" w:bidi="ar"/>
              </w:rPr>
              <w:t>19.5</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11</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深圳市标准技术研究院（深圳市物品编码所）</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知识产权保护工作站能力提升培训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保护类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12</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广州三环专利商标代理有限公司深圳分公司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海外知识产权保护机制建设和维权培训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保护类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13</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深圳市君胜知识产权代理事务所（普通合伙）</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海外知识产权保护机制建设和维权培训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保护类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w:t>
            </w:r>
            <w:r>
              <w:rPr>
                <w:rFonts w:hint="default" w:ascii="仿宋" w:hAnsi="仿宋" w:eastAsia="仿宋" w:cs="仿宋"/>
                <w:i w:val="0"/>
                <w:iCs w:val="0"/>
                <w:snapToGrid w:val="0"/>
                <w:color w:val="000000"/>
                <w:kern w:val="0"/>
                <w:sz w:val="22"/>
                <w:szCs w:val="22"/>
                <w:highlight w:val="none"/>
                <w:u w:val="none"/>
                <w:lang w:eastAsia="zh-CN" w:bidi="ar"/>
              </w:rPr>
              <w:t>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14</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深圳市深佳知识产权代理事务所（普通合伙）</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商业秘密保护理论宣贯及案例讲解</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保护类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15</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深圳市威世博知识产权代理事务所（普通合伙）</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知识产权维权指导及纠纷多元化解能力提升培训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保护类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w:t>
            </w:r>
            <w:r>
              <w:rPr>
                <w:rFonts w:hint="default" w:ascii="仿宋" w:hAnsi="仿宋" w:eastAsia="仿宋" w:cs="仿宋"/>
                <w:i w:val="0"/>
                <w:iCs w:val="0"/>
                <w:snapToGrid w:val="0"/>
                <w:color w:val="000000"/>
                <w:kern w:val="0"/>
                <w:sz w:val="22"/>
                <w:szCs w:val="22"/>
                <w:highlight w:val="none"/>
                <w:u w:val="none"/>
                <w:lang w:eastAsia="zh-CN" w:bidi="ar"/>
              </w:rPr>
              <w:t>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16</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中规（北京）认证有限公司深圳分公司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国际标准ISO56005《创新管理-知识产权管理指南》培训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17</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深圳市专利协会</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知识产权全流程管理实务指导培训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18</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深圳市标准技术研究院（深圳市物品编码所）</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标准必要专利对策应用及实操培训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19</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深圳众鼎专利商标代理事务所（普通合伙）</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“20+8”产业集群知识产权布局与实务管理培训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20</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深圳吉特慧智管理有限公司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国际标准ISO56005《创新管理-知识产权管理指南》培训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21</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深圳高智量知识产权运营有限公司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知识产权政策法规解读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22</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深圳市天策科技创新研究院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“20+8”产业集群知识产权布局与实务管理培训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23</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深圳市品牌保护与发展促进会</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“20+8”产业集群知识产权布局与实务管理培训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24</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深圳中一联合知识产权代理有限公司</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非正常专利规避及代理能力提升培训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20</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25</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深圳市坪山区知识产权保护促进中心</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“20+8”产业集群知识产权布局与实务管理培训</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综合类</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i w:val="0"/>
                <w:iCs w:val="0"/>
                <w:snapToGrid w:val="0"/>
                <w:color w:val="000000"/>
                <w:kern w:val="0"/>
                <w:sz w:val="22"/>
                <w:szCs w:val="22"/>
                <w:highlight w:val="none"/>
                <w:u w:val="none"/>
                <w:lang w:val="en-US" w:eastAsia="zh-CN" w:bidi="ar"/>
              </w:rPr>
              <w:t>16</w:t>
            </w:r>
          </w:p>
        </w:tc>
      </w:tr>
      <w:tr>
        <w:tblPrEx>
          <w:shd w:val="clear" w:color="auto" w:fill="auto"/>
          <w:tblCellMar>
            <w:top w:w="0" w:type="dxa"/>
            <w:left w:w="0" w:type="dxa"/>
            <w:bottom w:w="0" w:type="dxa"/>
            <w:right w:w="0" w:type="dxa"/>
          </w:tblCellMar>
        </w:tblPrEx>
        <w:trPr>
          <w:trHeight w:val="694"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default" w:ascii="CESI仿宋-GB2312" w:hAnsi="CESI仿宋-GB2312" w:eastAsia="CESI仿宋-GB2312" w:cs="CESI仿宋-GB2312"/>
                <w:color w:val="000000"/>
                <w:kern w:val="0"/>
                <w:sz w:val="28"/>
                <w:szCs w:val="28"/>
                <w:lang w:eastAsia="zh-CN"/>
              </w:rPr>
            </w:pPr>
            <w:r>
              <w:rPr>
                <w:rFonts w:hint="default" w:ascii="CESI仿宋-GB2312" w:hAnsi="CESI仿宋-GB2312" w:eastAsia="CESI仿宋-GB2312" w:cs="CESI仿宋-GB2312"/>
                <w:color w:val="000000"/>
                <w:kern w:val="0"/>
                <w:sz w:val="28"/>
                <w:szCs w:val="28"/>
                <w:lang w:eastAsia="zh-CN"/>
              </w:rPr>
              <w:t>合计</w:t>
            </w:r>
          </w:p>
        </w:tc>
        <w:tc>
          <w:tcPr>
            <w:tcW w:w="30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val="en-US" w:eastAsia="zh-CN" w:bidi="ar"/>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i w:val="0"/>
                <w:iCs w:val="0"/>
                <w:snapToGrid w:val="0"/>
                <w:color w:val="000000"/>
                <w:kern w:val="0"/>
                <w:sz w:val="22"/>
                <w:szCs w:val="22"/>
                <w:highlight w:val="none"/>
                <w:u w:val="none"/>
                <w:lang w:eastAsia="zh-CN" w:bidi="ar"/>
              </w:rPr>
            </w:pPr>
            <w:r>
              <w:rPr>
                <w:rFonts w:hint="default" w:ascii="仿宋" w:hAnsi="仿宋" w:eastAsia="仿宋" w:cs="仿宋"/>
                <w:i w:val="0"/>
                <w:iCs w:val="0"/>
                <w:snapToGrid w:val="0"/>
                <w:color w:val="000000"/>
                <w:kern w:val="0"/>
                <w:sz w:val="22"/>
                <w:szCs w:val="22"/>
                <w:highlight w:val="none"/>
                <w:u w:val="none"/>
                <w:lang w:eastAsia="zh-CN" w:bidi="ar"/>
              </w:rPr>
              <w:t>495.5</w:t>
            </w:r>
          </w:p>
        </w:tc>
      </w:tr>
    </w:tbl>
    <w:p>
      <w:pPr>
        <w:keepNext w:val="0"/>
        <w:keepLines w:val="0"/>
        <w:pageBreakBefore w:val="0"/>
        <w:widowControl w:val="0"/>
        <w:kinsoku/>
        <w:wordWrap/>
        <w:overflowPunct/>
        <w:topLinePunct w:val="0"/>
        <w:autoSpaceDE/>
        <w:autoSpaceDN/>
        <w:bidi w:val="0"/>
        <w:adjustRightInd/>
        <w:snapToGrid/>
        <w:spacing w:after="157" w:afterLines="50" w:line="36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知识产权专项资金知识产权意识提升项目</w:t>
      </w:r>
    </w:p>
    <w:tbl>
      <w:tblPr>
        <w:tblStyle w:val="5"/>
        <w:tblW w:w="10426" w:type="dxa"/>
        <w:jc w:val="center"/>
        <w:tblLayout w:type="fixed"/>
        <w:tblCellMar>
          <w:top w:w="0" w:type="dxa"/>
          <w:left w:w="0" w:type="dxa"/>
          <w:bottom w:w="0" w:type="dxa"/>
          <w:right w:w="0" w:type="dxa"/>
        </w:tblCellMar>
      </w:tblPr>
      <w:tblGrid>
        <w:gridCol w:w="876"/>
        <w:gridCol w:w="2622"/>
        <w:gridCol w:w="2970"/>
        <w:gridCol w:w="2700"/>
        <w:gridCol w:w="1258"/>
      </w:tblGrid>
      <w:tr>
        <w:tblPrEx>
          <w:tblCellMar>
            <w:top w:w="0" w:type="dxa"/>
            <w:left w:w="0" w:type="dxa"/>
            <w:bottom w:w="0" w:type="dxa"/>
            <w:right w:w="0" w:type="dxa"/>
          </w:tblCellMar>
        </w:tblPrEx>
        <w:trPr>
          <w:trHeight w:val="99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wordWrap/>
              <w:overflowPunct/>
              <w:topLinePunct w:val="0"/>
              <w:bidi w:val="0"/>
              <w:snapToGrid w:val="0"/>
              <w:spacing w:line="360" w:lineRule="exact"/>
              <w:jc w:val="center"/>
              <w:rPr>
                <w:rFonts w:hint="eastAsia" w:ascii="CESI仿宋-GB2312" w:hAnsi="CESI仿宋-GB2312" w:eastAsia="CESI仿宋-GB2312" w:cs="CESI仿宋-GB2312"/>
                <w:b/>
                <w:bCs/>
                <w:color w:val="000000"/>
                <w:kern w:val="0"/>
                <w:sz w:val="28"/>
                <w:szCs w:val="28"/>
              </w:rPr>
            </w:pPr>
            <w:r>
              <w:rPr>
                <w:rFonts w:hint="eastAsia" w:ascii="CESI仿宋-GB2312" w:hAnsi="CESI仿宋-GB2312" w:eastAsia="CESI仿宋-GB2312" w:cs="CESI仿宋-GB2312"/>
                <w:b/>
                <w:bCs/>
                <w:color w:val="000000"/>
                <w:kern w:val="0"/>
                <w:sz w:val="28"/>
                <w:szCs w:val="28"/>
                <w:lang w:bidi="ar"/>
              </w:rPr>
              <w:t>序号</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wordWrap/>
              <w:overflowPunct/>
              <w:topLinePunct w:val="0"/>
              <w:bidi w:val="0"/>
              <w:snapToGrid w:val="0"/>
              <w:spacing w:line="360" w:lineRule="exact"/>
              <w:jc w:val="center"/>
              <w:rPr>
                <w:rFonts w:hint="default" w:ascii="CESI仿宋-GB2312" w:hAnsi="CESI仿宋-GB2312" w:eastAsia="CESI仿宋-GB2312" w:cs="CESI仿宋-GB2312"/>
                <w:b/>
                <w:bCs/>
                <w:color w:val="000000"/>
                <w:kern w:val="0"/>
                <w:sz w:val="28"/>
                <w:szCs w:val="28"/>
              </w:rPr>
            </w:pPr>
            <w:r>
              <w:rPr>
                <w:rFonts w:hint="default" w:ascii="CESI仿宋-GB2312" w:hAnsi="CESI仿宋-GB2312" w:eastAsia="CESI仿宋-GB2312" w:cs="CESI仿宋-GB2312"/>
                <w:b/>
                <w:bCs/>
                <w:color w:val="000000"/>
                <w:kern w:val="0"/>
                <w:sz w:val="28"/>
                <w:szCs w:val="28"/>
                <w:lang w:bidi="ar"/>
              </w:rPr>
              <w:t>拟资助单位</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wordWrap/>
              <w:overflowPunct/>
              <w:topLinePunct w:val="0"/>
              <w:bidi w:val="0"/>
              <w:snapToGrid w:val="0"/>
              <w:spacing w:line="360" w:lineRule="exact"/>
              <w:jc w:val="center"/>
              <w:rPr>
                <w:rFonts w:hint="default" w:ascii="CESI仿宋-GB2312" w:hAnsi="CESI仿宋-GB2312" w:eastAsia="CESI仿宋-GB2312" w:cs="CESI仿宋-GB2312"/>
                <w:b/>
                <w:bCs/>
                <w:color w:val="000000"/>
                <w:kern w:val="0"/>
                <w:sz w:val="28"/>
                <w:szCs w:val="28"/>
              </w:rPr>
            </w:pPr>
            <w:r>
              <w:rPr>
                <w:rFonts w:hint="default" w:ascii="CESI仿宋-GB2312" w:hAnsi="CESI仿宋-GB2312" w:eastAsia="CESI仿宋-GB2312" w:cs="CESI仿宋-GB2312"/>
                <w:b/>
                <w:bCs/>
                <w:color w:val="000000"/>
                <w:kern w:val="0"/>
                <w:sz w:val="28"/>
                <w:szCs w:val="28"/>
              </w:rPr>
              <w:t>项目方向</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wordWrap/>
              <w:overflowPunct/>
              <w:topLinePunct w:val="0"/>
              <w:bidi w:val="0"/>
              <w:snapToGrid w:val="0"/>
              <w:spacing w:line="360" w:lineRule="exact"/>
              <w:jc w:val="center"/>
              <w:rPr>
                <w:rFonts w:hint="default" w:ascii="CESI仿宋-GB2312" w:hAnsi="CESI仿宋-GB2312" w:eastAsia="CESI仿宋-GB2312" w:cs="CESI仿宋-GB2312"/>
                <w:b/>
                <w:bCs/>
                <w:color w:val="000000"/>
                <w:kern w:val="0"/>
                <w:sz w:val="28"/>
                <w:szCs w:val="28"/>
              </w:rPr>
            </w:pPr>
            <w:r>
              <w:rPr>
                <w:rFonts w:hint="default" w:ascii="CESI仿宋-GB2312" w:hAnsi="CESI仿宋-GB2312" w:eastAsia="CESI仿宋-GB2312" w:cs="CESI仿宋-GB2312"/>
                <w:b/>
                <w:i w:val="0"/>
                <w:color w:val="000000"/>
                <w:kern w:val="0"/>
                <w:sz w:val="28"/>
                <w:szCs w:val="28"/>
                <w:u w:val="none"/>
                <w:lang w:eastAsia="zh-CN" w:bidi="ar"/>
              </w:rPr>
              <w:t>项目名称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wordWrap/>
              <w:overflowPunct/>
              <w:topLinePunct w:val="0"/>
              <w:bidi w:val="0"/>
              <w:snapToGrid w:val="0"/>
              <w:spacing w:line="360" w:lineRule="exact"/>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1</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港知交所（深圳）有限公司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高校知识产权意识提升项目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高校知识产权意识提升项目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2</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深圳市版权协会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知识产权科普及政策宣传</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知识产权科普及政策宣传</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957"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3</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深圳市工程师联合会</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"知识产权进校园"教育普及项目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“知识产权进校园”教育普及项目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4</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深圳晚报发展有限公司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青少年知识产权意识提升专题活动策划</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青少年知识产权科普意识提升项目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广州知人善用信息技术有限公司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知识产权文化传播多媒体制作推广</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深圳知识产权故事视频栏目制作推广</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60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6</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深圳市林盛林文化传播有限公司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知识产权助力产业发展专题宣传项目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深圳知识产权推进高质量发展 深度采访行——第一届“知识产权助力20+8战略性新兴产业”暨第三届“走进中国专利奖深圳金奖企业”采访报道</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7</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中国知识产权报社</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知识产权特色栏目创建</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知识产权意识提升</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60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8</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深圳广播电影电视集团</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深圳市知识产权故事及品牌建设项目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2023年度知识产权意识提升项目资助</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9</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深圳市小羚羊微影传媒有限公司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知识产权保护专题宣传项目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知识产权保护专题宣传</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50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10</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深圳华夏星光文化传播股份有限公司</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线下知识产权主题宣传推广项目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加强知识产权法治保障有力支持全面创新</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eastAsia" w:ascii="仿宋" w:hAnsi="仿宋" w:eastAsia="仿宋" w:cs="仿宋"/>
                <w:i w:val="0"/>
                <w:iCs w:val="0"/>
                <w:snapToGrid w:val="0"/>
                <w:color w:val="000000"/>
                <w:kern w:val="0"/>
                <w:sz w:val="22"/>
                <w:szCs w:val="22"/>
                <w:u w:val="none"/>
                <w:lang w:val="en-US" w:eastAsia="zh-CN" w:bidi="ar"/>
              </w:rPr>
              <w:t>30</w:t>
            </w:r>
          </w:p>
        </w:tc>
      </w:tr>
      <w:tr>
        <w:tblPrEx>
          <w:tblCellMar>
            <w:top w:w="0" w:type="dxa"/>
            <w:left w:w="0" w:type="dxa"/>
            <w:bottom w:w="0" w:type="dxa"/>
            <w:right w:w="0" w:type="dxa"/>
          </w:tblCellMar>
        </w:tblPrEx>
        <w:trPr>
          <w:trHeight w:val="87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合计</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600</w:t>
            </w:r>
          </w:p>
        </w:tc>
      </w:tr>
    </w:tbl>
    <w:p>
      <w:pPr>
        <w:keepNext w:val="0"/>
        <w:keepLines w:val="0"/>
        <w:pageBreakBefore w:val="0"/>
        <w:widowControl/>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rPr>
      </w:pPr>
      <w:r>
        <w:rPr>
          <w:rFonts w:hint="eastAsia" w:ascii="方正黑体_GBK" w:hAnsi="方正黑体_GBK" w:eastAsia="方正黑体_GBK" w:cs="方正黑体_GBK"/>
          <w:sz w:val="32"/>
          <w:szCs w:val="32"/>
          <w:highlight w:val="none"/>
        </w:rPr>
        <w:t>深</w:t>
      </w:r>
      <w:r>
        <w:rPr>
          <w:rFonts w:hint="eastAsia" w:ascii="黑体" w:hAnsi="黑体" w:eastAsia="黑体" w:cs="黑体"/>
          <w:sz w:val="32"/>
          <w:szCs w:val="32"/>
          <w:highlight w:val="none"/>
        </w:rPr>
        <w:t>圳市版权创新发展基地培育资助项目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1</w:t>
            </w:r>
          </w:p>
        </w:tc>
        <w:tc>
          <w:tcPr>
            <w:tcW w:w="4405"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val="en-US" w:eastAsia="zh-CN" w:bidi="ar"/>
              </w:rPr>
              <w:t>深圳中集智能科技有限公司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eastAsia" w:ascii="仿宋" w:hAnsi="仿宋" w:eastAsia="仿宋" w:cs="仿宋"/>
                <w:b w:val="0"/>
                <w:bCs w:val="0"/>
                <w:i w:val="0"/>
                <w:iCs w:val="0"/>
                <w:snapToGrid w:val="0"/>
                <w:color w:val="000000"/>
                <w:kern w:val="0"/>
                <w:sz w:val="22"/>
                <w:szCs w:val="22"/>
                <w:u w:val="none"/>
                <w:lang w:eastAsia="zh-CN" w:bidi="ar"/>
              </w:rPr>
              <w:t>合计</w:t>
            </w:r>
          </w:p>
        </w:tc>
        <w:tc>
          <w:tcPr>
            <w:tcW w:w="4405"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20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w:t>
      </w:r>
      <w:r>
        <w:rPr>
          <w:rFonts w:hint="eastAsia" w:ascii="方正黑体_GBK" w:hAnsi="方正黑体_GBK" w:eastAsia="方正黑体_GBK" w:cs="方正黑体_GBK"/>
          <w:b w:val="0"/>
          <w:bCs/>
          <w:sz w:val="32"/>
          <w:szCs w:val="32"/>
          <w:highlight w:val="none"/>
        </w:rPr>
        <w:t>知识产权公共服务体系建设</w:t>
      </w:r>
      <w:r>
        <w:rPr>
          <w:rFonts w:hint="eastAsia" w:ascii="方正黑体_GBK" w:hAnsi="方正黑体_GBK" w:eastAsia="方正黑体_GBK" w:cs="方正黑体_GBK"/>
          <w:b w:val="0"/>
          <w:bCs/>
          <w:sz w:val="32"/>
          <w:szCs w:val="32"/>
          <w:highlight w:val="none"/>
          <w:lang w:eastAsia="zh-CN"/>
        </w:rPr>
        <w:t>资助</w:t>
      </w:r>
      <w:r>
        <w:rPr>
          <w:rFonts w:hint="eastAsia" w:ascii="方正黑体_GBK" w:hAnsi="方正黑体_GBK" w:eastAsia="方正黑体_GBK" w:cs="方正黑体_GBK"/>
          <w:b w:val="0"/>
          <w:bCs/>
          <w:sz w:val="32"/>
          <w:szCs w:val="32"/>
          <w:highlight w:val="none"/>
        </w:rPr>
        <w:t>项目</w:t>
      </w:r>
    </w:p>
    <w:tbl>
      <w:tblPr>
        <w:tblStyle w:val="6"/>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650"/>
        <w:gridCol w:w="547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1650"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5470"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申报方向</w:t>
            </w:r>
          </w:p>
        </w:tc>
        <w:tc>
          <w:tcPr>
            <w:tcW w:w="1280" w:type="dxa"/>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1</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深圳大学</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方向三：在深圳市重点园区、高等学校、科研院所建立建设、运行维护知识产权信息公共服务网点，推动知识产权信息向深圳创新主体和转化运用主体传播利用</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2</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深圳市万商天勤知识产权事务所（普通合伙）</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方向一：知识产权信息服务、技术支撑、管理规范等公共服务体制机制创新研究和建设，包括热点问题跟踪研究、典型事件的梳理分析、重要数据统计模型的研究制订</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3</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深圳市版权协会</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方向二：深圳市重大产业规划、重大经济科技活动知识产权分析评议</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4</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广东六棱镜数字科技发展有限公司</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方向四：为深圳市的产业、企业、高校院所、政府、社会公众免费提供业务咨询、查询检索、动态监测、研究分析、决策支撑等信息服务或数据服务</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5</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中知深德知识产权运营管理（深圳）有限公司</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方向四：为深圳市的产业、企业、高校院所、政府、社会公众免费提供业务咨询、查询检索、动态监测、研究分析、决策支撑等信息服务或数据服务</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6</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深圳市标准技术研究院（深圳市物品编码所）</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方向二：深圳市重大产业规划、重大经济科技活动知识产权分析评议</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7</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深圳市前海智慧版权创新发展研究院</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方向一：知识产权信息服务、技术支撑、管理规范等公共服务体制机制创新研究和建设，包括热点问题跟踪研究、典型事件的梳理分析、重要数据统计模型的研究制订</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8</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深圳市世纪恒程知识产权代理事务所</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方向四：为深圳市的产业、企业、高校院所、政府、社会公众免费提供业务咨询、查询检索、动态监测、研究分析、决策支撑等信息服务或数据服务</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9</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深圳市沃尔新能源电气科技股份有限公司</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方向二：深圳市重大产业规划、重大经济科技活动知识产权分析评议</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10</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深圳市罗湖区真品溯源珠宝技术研究院</w:t>
            </w: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方向四：为深圳市的产业、企业、高校院所、政府、社会公众免费提供业务咨询、查询检索、动态监测、研究分析、决策支撑等信息服务或数据服务</w:t>
            </w: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val="en-US"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合计</w:t>
            </w:r>
          </w:p>
        </w:tc>
        <w:tc>
          <w:tcPr>
            <w:tcW w:w="165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547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128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iCs w:val="0"/>
                <w:snapToGrid w:val="0"/>
                <w:color w:val="000000"/>
                <w:kern w:val="0"/>
                <w:sz w:val="22"/>
                <w:szCs w:val="22"/>
                <w:highlight w:val="none"/>
                <w:u w:val="none"/>
                <w:lang w:eastAsia="zh-CN" w:bidi="ar"/>
              </w:rPr>
            </w:pPr>
            <w:r>
              <w:rPr>
                <w:rFonts w:hint="default" w:ascii="仿宋" w:hAnsi="仿宋" w:eastAsia="仿宋" w:cs="仿宋"/>
                <w:b w:val="0"/>
                <w:bCs w:val="0"/>
                <w:i w:val="0"/>
                <w:iCs w:val="0"/>
                <w:snapToGrid w:val="0"/>
                <w:color w:val="000000"/>
                <w:kern w:val="0"/>
                <w:sz w:val="22"/>
                <w:szCs w:val="22"/>
                <w:highlight w:val="none"/>
                <w:u w:val="none"/>
                <w:lang w:eastAsia="zh-CN" w:bidi="ar"/>
              </w:rPr>
              <w:t>700</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五、</w:t>
      </w:r>
      <w:r>
        <w:rPr>
          <w:rFonts w:hint="eastAsia" w:ascii="方正黑体_GBK" w:hAnsi="方正黑体_GBK" w:eastAsia="方正黑体_GBK" w:cs="方正黑体_GBK"/>
          <w:sz w:val="32"/>
          <w:szCs w:val="32"/>
          <w:highlight w:val="none"/>
        </w:rPr>
        <w:t>知识产权重大专项资助项目</w:t>
      </w:r>
    </w:p>
    <w:tbl>
      <w:tblPr>
        <w:tblStyle w:val="6"/>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910"/>
        <w:gridCol w:w="294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291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94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申报方向</w:t>
            </w:r>
          </w:p>
        </w:tc>
        <w:tc>
          <w:tcPr>
            <w:tcW w:w="2450"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1</w:t>
            </w:r>
          </w:p>
        </w:tc>
        <w:tc>
          <w:tcPr>
            <w:tcW w:w="29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国家知识产权局专利局专利审查协作广东中心</w:t>
            </w:r>
          </w:p>
        </w:tc>
        <w:tc>
          <w:tcPr>
            <w:tcW w:w="29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专利申请质量前端排查数据服务项目</w:t>
            </w:r>
          </w:p>
        </w:tc>
        <w:tc>
          <w:tcPr>
            <w:tcW w:w="245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2</w:t>
            </w:r>
          </w:p>
        </w:tc>
        <w:tc>
          <w:tcPr>
            <w:tcW w:w="29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深圳市标准技术研究院（深圳市物品编码所）</w:t>
            </w:r>
          </w:p>
        </w:tc>
        <w:tc>
          <w:tcPr>
            <w:tcW w:w="29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数据知识产权研究及登记应用项目</w:t>
            </w:r>
          </w:p>
        </w:tc>
        <w:tc>
          <w:tcPr>
            <w:tcW w:w="245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3</w:t>
            </w:r>
          </w:p>
        </w:tc>
        <w:tc>
          <w:tcPr>
            <w:tcW w:w="29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深圳高智量知识产权运营有限公司</w:t>
            </w:r>
          </w:p>
        </w:tc>
        <w:tc>
          <w:tcPr>
            <w:tcW w:w="29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前海知识产权创造、保护和运用生态示范区建设项目</w:t>
            </w:r>
          </w:p>
        </w:tc>
        <w:tc>
          <w:tcPr>
            <w:tcW w:w="245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合计</w:t>
            </w:r>
          </w:p>
        </w:tc>
        <w:tc>
          <w:tcPr>
            <w:tcW w:w="291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9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450"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eastAsia="zh-CN" w:bidi="ar"/>
              </w:rPr>
              <w:t>600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知识产权服务机构能力提升奖励项目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北京派特恩知识产权代理有限公司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2</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深圳市力道知识产权代理事务所（普通合伙）</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3</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深圳中一联合知识产权代理有限公司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4</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广东良马律师事务所</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5</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深圳紫藤知识产权代理有限公司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合计</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100</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b w:val="0"/>
          <w:snapToGrid w:val="0"/>
          <w:color w:val="000000"/>
          <w:kern w:val="0"/>
          <w:sz w:val="32"/>
          <w:szCs w:val="32"/>
          <w:lang w:eastAsia="zh-CN"/>
        </w:rPr>
      </w:pPr>
      <w:r>
        <w:rPr>
          <w:rFonts w:hint="eastAsia" w:ascii="方正黑体_GBK" w:hAnsi="方正黑体_GBK" w:eastAsia="方正黑体_GBK" w:cs="方正黑体_GBK"/>
          <w:b w:val="0"/>
          <w:snapToGrid w:val="0"/>
          <w:color w:val="000000"/>
          <w:kern w:val="0"/>
          <w:sz w:val="32"/>
          <w:szCs w:val="32"/>
          <w:lang w:eastAsia="zh-CN"/>
        </w:rPr>
        <w:t>引进国内外高端知识产权服务机构资助项目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4405" w:type="dxa"/>
            <w:vAlign w:val="center"/>
          </w:tcPr>
          <w:p>
            <w:pPr>
              <w:keepNext w:val="0"/>
              <w:keepLines w:val="0"/>
              <w:widowControl/>
              <w:suppressLineNumbers w:val="0"/>
              <w:jc w:val="both"/>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中国专利代理(香港)有限公司深圳代表处</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eastAsia" w:ascii="仿宋" w:hAnsi="仿宋" w:eastAsia="仿宋" w:cs="仿宋"/>
                <w:b/>
                <w:bCs/>
                <w:i w:val="0"/>
                <w:iCs w:val="0"/>
                <w:color w:val="000000"/>
                <w:kern w:val="0"/>
                <w:sz w:val="22"/>
                <w:szCs w:val="22"/>
                <w:u w:val="none"/>
                <w:lang w:eastAsia="zh-CN" w:bidi="ar"/>
              </w:rPr>
              <w:t>合计</w:t>
            </w:r>
          </w:p>
        </w:tc>
        <w:tc>
          <w:tcPr>
            <w:tcW w:w="4405" w:type="dxa"/>
            <w:vAlign w:val="center"/>
          </w:tcPr>
          <w:p>
            <w:pPr>
              <w:keepNext w:val="0"/>
              <w:keepLines w:val="0"/>
              <w:widowControl/>
              <w:suppressLineNumbers w:val="0"/>
              <w:jc w:val="both"/>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20</w:t>
            </w: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b w:val="0"/>
          <w:snapToGrid w:val="0"/>
          <w:color w:val="000000"/>
          <w:kern w:val="0"/>
          <w:sz w:val="32"/>
          <w:szCs w:val="32"/>
          <w:lang w:eastAsia="zh-CN"/>
        </w:rPr>
      </w:pPr>
      <w:r>
        <w:rPr>
          <w:rFonts w:hint="eastAsia" w:ascii="方正黑体_GBK" w:hAnsi="方正黑体_GBK" w:eastAsia="方正黑体_GBK" w:cs="方正黑体_GBK"/>
          <w:b w:val="0"/>
          <w:snapToGrid w:val="0"/>
          <w:color w:val="000000"/>
          <w:kern w:val="0"/>
          <w:sz w:val="32"/>
          <w:szCs w:val="32"/>
          <w:lang w:eastAsia="zh-CN"/>
        </w:rPr>
        <w:t>产业知识产权联盟资助项目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深圳市照明与显示工程行业协会</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eastAsia" w:ascii="仿宋" w:hAnsi="仿宋" w:eastAsia="仿宋" w:cs="仿宋"/>
                <w:b/>
                <w:bCs/>
                <w:i w:val="0"/>
                <w:iCs w:val="0"/>
                <w:color w:val="000000"/>
                <w:kern w:val="0"/>
                <w:sz w:val="22"/>
                <w:szCs w:val="22"/>
                <w:u w:val="none"/>
                <w:lang w:eastAsia="zh-CN" w:bidi="ar"/>
              </w:rPr>
              <w:t>合计</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50</w:t>
            </w:r>
          </w:p>
        </w:tc>
      </w:tr>
    </w:tbl>
    <w:p>
      <w:pPr>
        <w:pStyle w:val="2"/>
        <w:numPr>
          <w:ilvl w:val="0"/>
          <w:numId w:val="2"/>
        </w:numPr>
        <w:ind w:left="0" w:leftChars="0"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highlight w:val="none"/>
        </w:rPr>
        <w:t>深圳市商标品牌基地培育资助项目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snapToGrid w:val="0"/>
                <w:color w:val="000000"/>
                <w:kern w:val="0"/>
                <w:sz w:val="22"/>
                <w:szCs w:val="22"/>
                <w:highlight w:val="none"/>
                <w:u w:val="none"/>
                <w:lang w:eastAsia="zh-CN" w:bidi="ar"/>
              </w:rPr>
              <w:t>1</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深圳市康家佳品智能电器科技有限公司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eastAsia" w:ascii="仿宋" w:hAnsi="仿宋" w:eastAsia="仿宋" w:cs="仿宋"/>
                <w:b/>
                <w:bCs/>
                <w:i w:val="0"/>
                <w:iCs w:val="0"/>
                <w:snapToGrid w:val="0"/>
                <w:color w:val="000000"/>
                <w:kern w:val="0"/>
                <w:sz w:val="22"/>
                <w:szCs w:val="22"/>
                <w:highlight w:val="none"/>
                <w:u w:val="none"/>
                <w:lang w:eastAsia="zh-CN" w:bidi="ar"/>
              </w:rPr>
              <w:t>合计</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20</w:t>
            </w: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专利转化运用对接活动资助项目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color w:val="000000"/>
                <w:kern w:val="0"/>
                <w:sz w:val="22"/>
                <w:szCs w:val="22"/>
                <w:highlight w:val="none"/>
                <w:u w:val="none"/>
                <w:lang w:eastAsia="zh-CN" w:bidi="ar"/>
              </w:rPr>
              <w:t>1</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深圳大学</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val="0"/>
                <w:bCs w:val="0"/>
                <w:i w:val="0"/>
                <w:iCs w:val="0"/>
                <w:color w:val="000000"/>
                <w:kern w:val="0"/>
                <w:sz w:val="22"/>
                <w:szCs w:val="22"/>
                <w:highlight w:val="none"/>
                <w:u w:val="none"/>
                <w:lang w:eastAsia="zh-CN" w:bidi="ar"/>
              </w:rPr>
              <w:t>2</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深圳高智量知识产权运营有限公司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val="0"/>
                <w:bCs w:val="0"/>
                <w:i w:val="0"/>
                <w:iCs w:val="0"/>
                <w:color w:val="000000"/>
                <w:kern w:val="0"/>
                <w:sz w:val="22"/>
                <w:szCs w:val="22"/>
                <w:highlight w:val="none"/>
                <w:u w:val="none"/>
                <w:lang w:eastAsia="zh-CN" w:bidi="ar"/>
              </w:rPr>
              <w:t>3</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深圳市恒程创新知识产权代理有限公司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val="0"/>
                <w:bCs w:val="0"/>
                <w:i w:val="0"/>
                <w:iCs w:val="0"/>
                <w:color w:val="000000"/>
                <w:kern w:val="0"/>
                <w:sz w:val="22"/>
                <w:szCs w:val="22"/>
                <w:highlight w:val="none"/>
                <w:u w:val="none"/>
                <w:lang w:eastAsia="zh-CN" w:bidi="ar"/>
              </w:rPr>
              <w:t>4</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深圳南方知识产权运营中心有限公司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仿宋" w:hAnsi="仿宋" w:eastAsia="仿宋" w:cs="仿宋"/>
                <w:b w:val="0"/>
                <w:bCs w:val="0"/>
                <w:i w:val="0"/>
                <w:iCs w:val="0"/>
                <w:color w:val="000000"/>
                <w:kern w:val="0"/>
                <w:sz w:val="22"/>
                <w:szCs w:val="22"/>
                <w:highlight w:val="none"/>
                <w:u w:val="none"/>
                <w:lang w:eastAsia="zh-CN" w:bidi="ar"/>
              </w:rPr>
            </w:pPr>
            <w:r>
              <w:rPr>
                <w:rFonts w:hint="eastAsia" w:ascii="仿宋" w:hAnsi="仿宋" w:eastAsia="仿宋" w:cs="仿宋"/>
                <w:b w:val="0"/>
                <w:bCs w:val="0"/>
                <w:i w:val="0"/>
                <w:iCs w:val="0"/>
                <w:color w:val="000000"/>
                <w:kern w:val="0"/>
                <w:sz w:val="22"/>
                <w:szCs w:val="22"/>
                <w:highlight w:val="none"/>
                <w:u w:val="none"/>
                <w:lang w:eastAsia="zh-CN" w:bidi="ar"/>
              </w:rPr>
              <w:t>合计</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80</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b w:val="0"/>
          <w:bCs/>
          <w:sz w:val="32"/>
          <w:szCs w:val="32"/>
          <w:highlight w:val="none"/>
        </w:rPr>
      </w:pPr>
      <w:r>
        <w:rPr>
          <w:rFonts w:hint="eastAsia" w:ascii="方正黑体_GBK" w:hAnsi="方正黑体_GBK" w:eastAsia="方正黑体_GBK" w:cs="方正黑体_GBK"/>
          <w:b w:val="0"/>
          <w:bCs/>
          <w:sz w:val="32"/>
          <w:szCs w:val="32"/>
          <w:highlight w:val="none"/>
        </w:rPr>
        <w:t>知识产权运营机构奖励项目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4405" w:type="dxa"/>
            <w:vAlign w:val="top"/>
          </w:tcPr>
          <w:p>
            <w:pPr>
              <w:spacing w:beforeLines="-2147483648" w:afterLines="-2147483648"/>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color w:val="000000"/>
                <w:sz w:val="22"/>
                <w:szCs w:val="22"/>
                <w:lang w:val="en-US" w:eastAsia="zh-CN" w:bidi="ar"/>
              </w:rPr>
              <w:t>深圳南方知识产权运营中心有限公司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2</w:t>
            </w:r>
          </w:p>
        </w:tc>
        <w:tc>
          <w:tcPr>
            <w:tcW w:w="4405" w:type="dxa"/>
            <w:vAlign w:val="top"/>
          </w:tcPr>
          <w:p>
            <w:pPr>
              <w:spacing w:beforeLines="-2147483648" w:afterLines="-2147483648"/>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color w:val="000000"/>
                <w:sz w:val="22"/>
                <w:szCs w:val="22"/>
                <w:lang w:val="en-US" w:eastAsia="zh-CN" w:bidi="ar"/>
              </w:rPr>
              <w:t>深圳市恒程创新知识产权代理有限公司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3</w:t>
            </w:r>
          </w:p>
        </w:tc>
        <w:tc>
          <w:tcPr>
            <w:tcW w:w="4405" w:type="dxa"/>
            <w:vAlign w:val="top"/>
          </w:tcPr>
          <w:p>
            <w:pPr>
              <w:spacing w:beforeLines="-2147483648" w:afterLines="-2147483648"/>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color w:val="000000"/>
                <w:sz w:val="22"/>
                <w:szCs w:val="22"/>
                <w:lang w:val="en-US" w:eastAsia="zh-CN" w:bidi="ar"/>
              </w:rPr>
              <w:t>深圳高智量知识产权运营有限公司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eastAsia" w:ascii="仿宋" w:hAnsi="仿宋" w:eastAsia="仿宋" w:cs="仿宋"/>
                <w:b/>
                <w:bCs/>
                <w:i w:val="0"/>
                <w:iCs w:val="0"/>
                <w:color w:val="000000"/>
                <w:kern w:val="0"/>
                <w:sz w:val="22"/>
                <w:szCs w:val="22"/>
                <w:u w:val="none"/>
                <w:lang w:eastAsia="zh-CN" w:bidi="ar"/>
              </w:rPr>
              <w:t>合计</w:t>
            </w:r>
          </w:p>
        </w:tc>
        <w:tc>
          <w:tcPr>
            <w:tcW w:w="4405" w:type="dxa"/>
            <w:vAlign w:val="top"/>
          </w:tcPr>
          <w:p>
            <w:pPr>
              <w:spacing w:beforeLines="-2147483648" w:afterLines="-2147483648"/>
              <w:jc w:val="center"/>
              <w:textAlignment w:val="center"/>
              <w:rPr>
                <w:rFonts w:hint="default" w:ascii="仿宋" w:hAnsi="仿宋" w:eastAsia="仿宋" w:cs="仿宋"/>
                <w:color w:val="000000"/>
                <w:sz w:val="22"/>
                <w:szCs w:val="22"/>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60</w:t>
            </w: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b w:val="0"/>
          <w:snapToGrid w:val="0"/>
          <w:color w:val="000000"/>
          <w:kern w:val="0"/>
          <w:sz w:val="32"/>
          <w:szCs w:val="32"/>
          <w:lang w:eastAsia="zh-CN"/>
        </w:rPr>
      </w:pPr>
      <w:r>
        <w:rPr>
          <w:rFonts w:hint="eastAsia" w:ascii="方正黑体_GBK" w:hAnsi="方正黑体_GBK" w:eastAsia="方正黑体_GBK" w:cs="方正黑体_GBK"/>
          <w:b w:val="0"/>
          <w:snapToGrid w:val="0"/>
          <w:color w:val="000000"/>
          <w:kern w:val="0"/>
          <w:sz w:val="32"/>
          <w:szCs w:val="32"/>
          <w:lang w:eastAsia="zh-CN"/>
        </w:rPr>
        <w:t>深圳市商标品牌指导站培育资助项目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440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4405"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284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4405" w:type="dxa"/>
            <w:vAlign w:val="center"/>
          </w:tcPr>
          <w:p>
            <w:pPr>
              <w:keepNext w:val="0"/>
              <w:keepLines w:val="0"/>
              <w:widowControl/>
              <w:suppressLineNumbers w:val="0"/>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i w:val="0"/>
                <w:iCs w:val="0"/>
                <w:snapToGrid w:val="0"/>
                <w:color w:val="000000"/>
                <w:kern w:val="0"/>
                <w:sz w:val="22"/>
                <w:szCs w:val="22"/>
                <w:u w:val="none"/>
                <w:lang w:val="en-US" w:eastAsia="zh-CN" w:bidi="ar"/>
              </w:rPr>
              <w:t>深圳市商标协会</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2</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深圳市企业科技创新促进会</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3</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深圳市跨境电子商务协会</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4</w:t>
            </w:r>
          </w:p>
        </w:tc>
        <w:tc>
          <w:tcPr>
            <w:tcW w:w="4405" w:type="dxa"/>
            <w:vAlign w:val="center"/>
          </w:tcPr>
          <w:p>
            <w:pPr>
              <w:keepNext w:val="0"/>
              <w:keepLines w:val="0"/>
              <w:widowControl/>
              <w:suppressLineNumbers w:val="0"/>
              <w:jc w:val="center"/>
              <w:textAlignment w:val="center"/>
              <w:rPr>
                <w:rFonts w:hint="default" w:ascii="仿宋" w:hAnsi="仿宋" w:eastAsia="仿宋" w:cs="仿宋"/>
                <w:color w:val="000000"/>
                <w:sz w:val="22"/>
                <w:szCs w:val="22"/>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深圳市品牌保护与发展促进会</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5</w:t>
            </w:r>
          </w:p>
        </w:tc>
        <w:tc>
          <w:tcPr>
            <w:tcW w:w="4405" w:type="dxa"/>
            <w:vAlign w:val="center"/>
          </w:tcPr>
          <w:p>
            <w:pPr>
              <w:keepNext w:val="0"/>
              <w:keepLines w:val="0"/>
              <w:widowControl/>
              <w:suppressLineNumbers w:val="0"/>
              <w:jc w:val="center"/>
              <w:textAlignment w:val="center"/>
              <w:rPr>
                <w:rFonts w:hint="default" w:ascii="仿宋" w:hAnsi="仿宋" w:eastAsia="仿宋" w:cs="仿宋"/>
                <w:color w:val="000000"/>
                <w:sz w:val="22"/>
                <w:szCs w:val="22"/>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深圳中一联合知识产权代理有限公司</w:t>
            </w: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val="0"/>
                <w:bCs w:val="0"/>
                <w:i w:val="0"/>
                <w:iCs w:val="0"/>
                <w:snapToGrid w:val="0"/>
                <w:color w:val="000000"/>
                <w:kern w:val="0"/>
                <w:sz w:val="22"/>
                <w:szCs w:val="22"/>
                <w:u w:val="none"/>
                <w:lang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eastAsia" w:ascii="仿宋" w:hAnsi="仿宋" w:eastAsia="仿宋" w:cs="仿宋"/>
                <w:b/>
                <w:bCs/>
                <w:i w:val="0"/>
                <w:iCs w:val="0"/>
                <w:color w:val="000000"/>
                <w:kern w:val="0"/>
                <w:sz w:val="22"/>
                <w:szCs w:val="22"/>
                <w:u w:val="none"/>
                <w:lang w:eastAsia="zh-CN" w:bidi="ar"/>
              </w:rPr>
              <w:t>合计</w:t>
            </w:r>
          </w:p>
        </w:tc>
        <w:tc>
          <w:tcPr>
            <w:tcW w:w="4405" w:type="dxa"/>
            <w:vAlign w:val="center"/>
          </w:tcPr>
          <w:p>
            <w:pPr>
              <w:keepNext w:val="0"/>
              <w:keepLines w:val="0"/>
              <w:widowControl/>
              <w:suppressLineNumbers w:val="0"/>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2841" w:type="dxa"/>
          </w:tcPr>
          <w:p>
            <w:pPr>
              <w:pStyle w:val="2"/>
              <w:numPr>
                <w:ilvl w:val="0"/>
                <w:numId w:val="0"/>
              </w:numPr>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100</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方正黑体_GBK" w:hAnsi="方正黑体_GBK" w:eastAsia="方正黑体_GBK" w:cs="方正黑体_GBK"/>
          <w:b w:val="0"/>
          <w:snapToGrid w:val="0"/>
          <w:color w:val="000000"/>
          <w:kern w:val="0"/>
          <w:sz w:val="32"/>
          <w:szCs w:val="32"/>
          <w:lang w:eastAsia="zh-CN"/>
        </w:rPr>
      </w:pPr>
      <w:r>
        <w:rPr>
          <w:rFonts w:hint="eastAsia" w:ascii="方正黑体_GBK" w:hAnsi="方正黑体_GBK" w:eastAsia="方正黑体_GBK" w:cs="方正黑体_GBK"/>
          <w:b w:val="0"/>
          <w:snapToGrid w:val="0"/>
          <w:color w:val="000000"/>
          <w:kern w:val="0"/>
          <w:sz w:val="32"/>
          <w:szCs w:val="32"/>
          <w:lang w:eastAsia="zh-CN"/>
        </w:rPr>
        <w:t>专利导航资助项目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3721"/>
        <w:gridCol w:w="1509"/>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序号</w:t>
            </w:r>
          </w:p>
        </w:tc>
        <w:tc>
          <w:tcPr>
            <w:tcW w:w="3721"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拟资助对象</w:t>
            </w:r>
          </w:p>
        </w:tc>
        <w:tc>
          <w:tcPr>
            <w:tcW w:w="1509"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导航类型</w:t>
            </w:r>
          </w:p>
        </w:tc>
        <w:tc>
          <w:tcPr>
            <w:tcW w:w="2333" w:type="dxa"/>
          </w:tcPr>
          <w:p>
            <w:pPr>
              <w:pStyle w:val="2"/>
              <w:numPr>
                <w:ilvl w:val="0"/>
                <w:numId w:val="0"/>
              </w:numPr>
              <w:jc w:val="center"/>
              <w:rPr>
                <w:rFonts w:hint="default" w:ascii="CESI仿宋-GB2312" w:hAnsi="CESI仿宋-GB2312" w:eastAsia="CESI仿宋-GB2312" w:cs="CESI仿宋-GB2312"/>
                <w:b/>
                <w:i w:val="0"/>
                <w:color w:val="000000"/>
                <w:kern w:val="0"/>
                <w:sz w:val="28"/>
                <w:szCs w:val="28"/>
                <w:u w:val="none"/>
                <w:lang w:eastAsia="zh-CN" w:bidi="ar"/>
              </w:rPr>
            </w:pPr>
            <w:r>
              <w:rPr>
                <w:rFonts w:hint="default" w:ascii="CESI仿宋-GB2312" w:hAnsi="CESI仿宋-GB2312" w:eastAsia="CESI仿宋-GB2312" w:cs="CESI仿宋-GB2312"/>
                <w:b/>
                <w:i w:val="0"/>
                <w:color w:val="000000"/>
                <w:kern w:val="0"/>
                <w:sz w:val="28"/>
                <w:szCs w:val="28"/>
                <w:u w:val="none"/>
                <w:lang w:eastAsia="zh-CN" w:bidi="ar"/>
              </w:rPr>
              <w:t>拟资助金额/万元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val="0"/>
                <w:bCs w:val="0"/>
                <w:i w:val="0"/>
                <w:iCs w:val="0"/>
                <w:snapToGrid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1</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深圳市战略性新兴产业发展促进会</w:t>
            </w:r>
          </w:p>
        </w:tc>
        <w:tc>
          <w:tcPr>
            <w:tcW w:w="1509" w:type="dxa"/>
          </w:tcPr>
          <w:p>
            <w:pPr>
              <w:pStyle w:val="2"/>
              <w:keepNext w:val="0"/>
              <w:keepLines w:val="0"/>
              <w:pageBreakBefore w:val="0"/>
              <w:numPr>
                <w:ilvl w:val="0"/>
                <w:numId w:val="0"/>
              </w:numPr>
              <w:wordWrap/>
              <w:overflowPunct/>
              <w:topLinePunct w:val="0"/>
              <w:bidi w:val="0"/>
              <w:spacing w:line="360" w:lineRule="exact"/>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产业导航类</w:t>
            </w:r>
          </w:p>
        </w:tc>
        <w:tc>
          <w:tcPr>
            <w:tcW w:w="2333" w:type="dxa"/>
          </w:tcPr>
          <w:p>
            <w:pPr>
              <w:pStyle w:val="2"/>
              <w:keepNext w:val="0"/>
              <w:keepLines w:val="0"/>
              <w:pageBreakBefore w:val="0"/>
              <w:numPr>
                <w:ilvl w:val="0"/>
                <w:numId w:val="0"/>
              </w:numPr>
              <w:wordWrap/>
              <w:overflowPunct/>
              <w:topLinePunct w:val="0"/>
              <w:bidi w:val="0"/>
              <w:spacing w:line="360" w:lineRule="exact"/>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2</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深圳市对接平台科技发展有限公司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产业导航类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snapToGrid w:val="0"/>
                <w:color w:val="000000"/>
                <w:kern w:val="0"/>
                <w:sz w:val="22"/>
                <w:szCs w:val="22"/>
                <w:highlight w:val="none"/>
                <w:u w:val="none"/>
                <w:lang w:eastAsia="zh-CN" w:bidi="ar"/>
              </w:rPr>
            </w:pPr>
            <w:r>
              <w:rPr>
                <w:rFonts w:hint="default" w:ascii="仿宋" w:hAnsi="仿宋" w:eastAsia="仿宋" w:cs="仿宋"/>
                <w:b/>
                <w:bCs/>
                <w:i w:val="0"/>
                <w:iCs w:val="0"/>
                <w:color w:val="000000"/>
                <w:kern w:val="0"/>
                <w:sz w:val="22"/>
                <w:szCs w:val="22"/>
                <w:u w:val="none"/>
                <w:lang w:eastAsia="zh-CN" w:bidi="ar"/>
              </w:rPr>
              <w:t>3</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广州嘉权专利商标事务所有限公司深圳分公司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产业导航类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4</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深圳市宝安区半导体行业协会</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产业导航类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eastAsia="zh-CN" w:bidi="ar"/>
              </w:rPr>
            </w:pPr>
            <w:r>
              <w:rPr>
                <w:rFonts w:hint="default" w:ascii="仿宋" w:hAnsi="仿宋" w:eastAsia="仿宋" w:cs="仿宋"/>
                <w:b/>
                <w:bCs/>
                <w:i w:val="0"/>
                <w:iCs w:val="0"/>
                <w:color w:val="000000"/>
                <w:kern w:val="0"/>
                <w:sz w:val="22"/>
                <w:szCs w:val="22"/>
                <w:u w:val="none"/>
                <w:lang w:eastAsia="zh-CN" w:bidi="ar"/>
              </w:rPr>
              <w:t>5</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深圳市照明与显示工程行业协会</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产业导航类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default" w:ascii="仿宋" w:hAnsi="仿宋" w:eastAsia="仿宋" w:cs="仿宋"/>
                <w:b w:val="0"/>
                <w:bCs w:val="0"/>
                <w:i w:val="0"/>
                <w:iCs w:val="0"/>
                <w:snapToGrid w:val="0"/>
                <w:color w:val="000000"/>
                <w:kern w:val="0"/>
                <w:sz w:val="22"/>
                <w:szCs w:val="22"/>
                <w:u w:val="none"/>
                <w:lang w:val="en"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6</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深圳光峰科技股份有限公司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eastAsia" w:ascii="仿宋" w:hAnsi="仿宋" w:eastAsia="仿宋" w:cs="仿宋"/>
                <w:b w:val="0"/>
                <w:bCs w:val="0"/>
                <w:i w:val="0"/>
                <w:iCs w:val="0"/>
                <w:snapToGrid w:val="0"/>
                <w:color w:val="000000"/>
                <w:kern w:val="0"/>
                <w:sz w:val="22"/>
                <w:szCs w:val="22"/>
                <w:u w:val="none"/>
                <w:lang w:val="en" w:eastAsia="zh-CN" w:bidi="ar"/>
              </w:rPr>
              <w:t>研发活动类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7</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深圳市芭田生态工程股份有限公司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eastAsia" w:ascii="仿宋" w:hAnsi="仿宋" w:eastAsia="仿宋" w:cs="仿宋"/>
                <w:b w:val="0"/>
                <w:bCs w:val="0"/>
                <w:i w:val="0"/>
                <w:iCs w:val="0"/>
                <w:snapToGrid w:val="0"/>
                <w:color w:val="000000"/>
                <w:kern w:val="0"/>
                <w:sz w:val="22"/>
                <w:szCs w:val="22"/>
                <w:u w:val="none"/>
                <w:lang w:val="en" w:eastAsia="zh-CN" w:bidi="ar"/>
              </w:rPr>
              <w:t>研发活动类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8</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深圳市酷开网络科技股份有限公司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eastAsia" w:ascii="仿宋" w:hAnsi="仿宋" w:eastAsia="仿宋" w:cs="仿宋"/>
                <w:b w:val="0"/>
                <w:bCs w:val="0"/>
                <w:i w:val="0"/>
                <w:iCs w:val="0"/>
                <w:snapToGrid w:val="0"/>
                <w:color w:val="000000"/>
                <w:kern w:val="0"/>
                <w:sz w:val="22"/>
                <w:szCs w:val="22"/>
                <w:u w:val="none"/>
                <w:lang w:val="en" w:eastAsia="zh-CN" w:bidi="ar"/>
              </w:rPr>
              <w:t>企业经营类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9</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default" w:ascii="仿宋" w:hAnsi="仿宋" w:eastAsia="仿宋" w:cs="仿宋"/>
                <w:i w:val="0"/>
                <w:iCs w:val="0"/>
                <w:snapToGrid w:val="0"/>
                <w:color w:val="000000"/>
                <w:kern w:val="0"/>
                <w:sz w:val="22"/>
                <w:szCs w:val="22"/>
                <w:u w:val="none"/>
                <w:lang w:val="en-US" w:eastAsia="zh-CN" w:bidi="ar"/>
              </w:rPr>
              <w:t>芯海科技（深圳）股份有限公司</w:t>
            </w: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r>
              <w:rPr>
                <w:rFonts w:hint="eastAsia" w:ascii="仿宋" w:hAnsi="仿宋" w:eastAsia="仿宋" w:cs="仿宋"/>
                <w:b w:val="0"/>
                <w:bCs w:val="0"/>
                <w:i w:val="0"/>
                <w:iCs w:val="0"/>
                <w:snapToGrid w:val="0"/>
                <w:color w:val="000000"/>
                <w:kern w:val="0"/>
                <w:sz w:val="22"/>
                <w:szCs w:val="22"/>
                <w:u w:val="none"/>
                <w:lang w:val="en" w:eastAsia="zh-CN" w:bidi="ar"/>
              </w:rPr>
              <w:t>企业经营类</w:t>
            </w: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exact"/>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合计</w:t>
            </w:r>
          </w:p>
        </w:tc>
        <w:tc>
          <w:tcPr>
            <w:tcW w:w="3721" w:type="dxa"/>
            <w:vAlign w:val="center"/>
          </w:tcPr>
          <w:p>
            <w:pPr>
              <w:keepNext w:val="0"/>
              <w:keepLines w:val="0"/>
              <w:pageBreakBefore w:val="0"/>
              <w:widowControl/>
              <w:suppressLineNumbers w:val="0"/>
              <w:wordWrap/>
              <w:overflowPunct/>
              <w:topLinePunct w:val="0"/>
              <w:bidi w:val="0"/>
              <w:spacing w:line="360" w:lineRule="exact"/>
              <w:jc w:val="center"/>
              <w:textAlignment w:val="center"/>
              <w:rPr>
                <w:rFonts w:hint="default" w:ascii="仿宋" w:hAnsi="仿宋" w:eastAsia="仿宋" w:cs="仿宋"/>
                <w:i w:val="0"/>
                <w:iCs w:val="0"/>
                <w:snapToGrid w:val="0"/>
                <w:color w:val="000000"/>
                <w:kern w:val="0"/>
                <w:sz w:val="22"/>
                <w:szCs w:val="22"/>
                <w:u w:val="none"/>
                <w:lang w:val="en-US" w:eastAsia="zh-CN" w:bidi="ar"/>
              </w:rPr>
            </w:pPr>
          </w:p>
        </w:tc>
        <w:tc>
          <w:tcPr>
            <w:tcW w:w="1509"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 w:eastAsia="zh-CN" w:bidi="ar"/>
              </w:rPr>
            </w:pPr>
          </w:p>
        </w:tc>
        <w:tc>
          <w:tcPr>
            <w:tcW w:w="2333" w:type="dxa"/>
            <w:vAlign w:val="top"/>
          </w:tcPr>
          <w:p>
            <w:pPr>
              <w:pStyle w:val="2"/>
              <w:keepNext w:val="0"/>
              <w:keepLines w:val="0"/>
              <w:pageBreakBefore w:val="0"/>
              <w:numPr>
                <w:ilvl w:val="0"/>
                <w:numId w:val="0"/>
              </w:numPr>
              <w:wordWrap/>
              <w:overflowPunct/>
              <w:topLinePunct w:val="0"/>
              <w:bidi w:val="0"/>
              <w:spacing w:line="360" w:lineRule="exact"/>
              <w:ind w:left="0" w:leftChars="0" w:firstLine="0" w:firstLineChars="0"/>
              <w:jc w:val="center"/>
              <w:rPr>
                <w:rFonts w:hint="default" w:ascii="仿宋" w:hAnsi="仿宋" w:eastAsia="仿宋" w:cs="仿宋"/>
                <w:b w:val="0"/>
                <w:bCs w:val="0"/>
                <w:i w:val="0"/>
                <w:iCs w:val="0"/>
                <w:snapToGrid w:val="0"/>
                <w:color w:val="000000"/>
                <w:kern w:val="0"/>
                <w:sz w:val="22"/>
                <w:szCs w:val="22"/>
                <w:u w:val="none"/>
                <w:lang w:val="en-US" w:eastAsia="zh-CN" w:bidi="ar"/>
              </w:rPr>
            </w:pPr>
            <w:r>
              <w:rPr>
                <w:rFonts w:hint="eastAsia" w:ascii="仿宋" w:hAnsi="仿宋" w:eastAsia="仿宋" w:cs="仿宋"/>
                <w:b w:val="0"/>
                <w:bCs w:val="0"/>
                <w:i w:val="0"/>
                <w:iCs w:val="0"/>
                <w:snapToGrid w:val="0"/>
                <w:color w:val="000000"/>
                <w:kern w:val="0"/>
                <w:sz w:val="22"/>
                <w:szCs w:val="22"/>
                <w:u w:val="none"/>
                <w:lang w:val="en-US" w:eastAsia="zh-CN" w:bidi="ar"/>
              </w:rPr>
              <w:t>370</w:t>
            </w:r>
          </w:p>
        </w:tc>
      </w:tr>
    </w:tbl>
    <w:p>
      <w:pPr>
        <w:snapToGrid w:val="0"/>
        <w:spacing w:afterLines="100" w:line="560" w:lineRule="exact"/>
        <w:jc w:val="center"/>
        <w:rPr>
          <w:rFonts w:ascii="黑体" w:hAnsi="黑体" w:eastAsia="黑体" w:cs="黑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77705"/>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FF700"/>
    <w:multiLevelType w:val="singleLevel"/>
    <w:tmpl w:val="A6BFF700"/>
    <w:lvl w:ilvl="0" w:tentative="0">
      <w:start w:val="3"/>
      <w:numFmt w:val="chineseCounting"/>
      <w:suff w:val="nothing"/>
      <w:lvlText w:val="%1、"/>
      <w:lvlJc w:val="left"/>
      <w:rPr>
        <w:rFonts w:hint="eastAsia"/>
      </w:rPr>
    </w:lvl>
  </w:abstractNum>
  <w:abstractNum w:abstractNumId="1">
    <w:nsid w:val="EBF59CAD"/>
    <w:multiLevelType w:val="singleLevel"/>
    <w:tmpl w:val="EBF59CA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55F95"/>
    <w:rsid w:val="001C397B"/>
    <w:rsid w:val="002A4960"/>
    <w:rsid w:val="00375864"/>
    <w:rsid w:val="003C3AAC"/>
    <w:rsid w:val="006D3B29"/>
    <w:rsid w:val="00EB6308"/>
    <w:rsid w:val="04FE1E4F"/>
    <w:rsid w:val="084D27FF"/>
    <w:rsid w:val="0F9E7AD1"/>
    <w:rsid w:val="15FE1E0C"/>
    <w:rsid w:val="1E514012"/>
    <w:rsid w:val="1FA82540"/>
    <w:rsid w:val="1FEFACFC"/>
    <w:rsid w:val="2AE43AE4"/>
    <w:rsid w:val="2BF23663"/>
    <w:rsid w:val="2BFDA2AA"/>
    <w:rsid w:val="2EEF4852"/>
    <w:rsid w:val="2F3647B1"/>
    <w:rsid w:val="33D7E36F"/>
    <w:rsid w:val="35D67B6B"/>
    <w:rsid w:val="38996CB7"/>
    <w:rsid w:val="39321BA4"/>
    <w:rsid w:val="39FE5841"/>
    <w:rsid w:val="3A3B2473"/>
    <w:rsid w:val="3AF9E157"/>
    <w:rsid w:val="3BE3E390"/>
    <w:rsid w:val="3CFFAB6B"/>
    <w:rsid w:val="3DF70CD4"/>
    <w:rsid w:val="3E6F7910"/>
    <w:rsid w:val="3E7FB375"/>
    <w:rsid w:val="3E8722A3"/>
    <w:rsid w:val="3EEFA672"/>
    <w:rsid w:val="3F39E282"/>
    <w:rsid w:val="44EB47CF"/>
    <w:rsid w:val="47FF6D04"/>
    <w:rsid w:val="4AEFC1E8"/>
    <w:rsid w:val="4E1A2DA6"/>
    <w:rsid w:val="55B23100"/>
    <w:rsid w:val="58BF04DD"/>
    <w:rsid w:val="5DEF2DC8"/>
    <w:rsid w:val="5DFFDD2E"/>
    <w:rsid w:val="5EBA84A5"/>
    <w:rsid w:val="5FD75F63"/>
    <w:rsid w:val="5FDBF20C"/>
    <w:rsid w:val="6406333A"/>
    <w:rsid w:val="645C333F"/>
    <w:rsid w:val="65F3AEFE"/>
    <w:rsid w:val="65FD1E68"/>
    <w:rsid w:val="66DF7227"/>
    <w:rsid w:val="6BEA7D2C"/>
    <w:rsid w:val="6BEFE732"/>
    <w:rsid w:val="6EB6C44C"/>
    <w:rsid w:val="6F74FAD1"/>
    <w:rsid w:val="6F7C26E1"/>
    <w:rsid w:val="727E3DA1"/>
    <w:rsid w:val="73DD15BF"/>
    <w:rsid w:val="73DFF2C2"/>
    <w:rsid w:val="73E55F95"/>
    <w:rsid w:val="73FF1C3A"/>
    <w:rsid w:val="74E071AA"/>
    <w:rsid w:val="74E70FD7"/>
    <w:rsid w:val="75FB6F50"/>
    <w:rsid w:val="75FF583E"/>
    <w:rsid w:val="7A67D4B9"/>
    <w:rsid w:val="7AA33445"/>
    <w:rsid w:val="7AED5937"/>
    <w:rsid w:val="7C9B8BFE"/>
    <w:rsid w:val="7DBF5438"/>
    <w:rsid w:val="7E5215C1"/>
    <w:rsid w:val="7E77C591"/>
    <w:rsid w:val="7F5F3E06"/>
    <w:rsid w:val="7F7BBDF7"/>
    <w:rsid w:val="7FDFFB10"/>
    <w:rsid w:val="7FE9D1AF"/>
    <w:rsid w:val="7FF317C6"/>
    <w:rsid w:val="7FF3B3BA"/>
    <w:rsid w:val="7FFF2412"/>
    <w:rsid w:val="7FFF7844"/>
    <w:rsid w:val="9F97FADC"/>
    <w:rsid w:val="9FE84F3D"/>
    <w:rsid w:val="9FFC3DCF"/>
    <w:rsid w:val="AE7D4735"/>
    <w:rsid w:val="AEEF5F20"/>
    <w:rsid w:val="B3EF1FF1"/>
    <w:rsid w:val="B6FEFBCF"/>
    <w:rsid w:val="B79F775A"/>
    <w:rsid w:val="BBB66517"/>
    <w:rsid w:val="BCFF682C"/>
    <w:rsid w:val="BE4FFE6E"/>
    <w:rsid w:val="BEF72EEB"/>
    <w:rsid w:val="C77514BA"/>
    <w:rsid w:val="C78F3FF6"/>
    <w:rsid w:val="CFDF3F17"/>
    <w:rsid w:val="D75A6C3B"/>
    <w:rsid w:val="D935DDCA"/>
    <w:rsid w:val="DAD854BE"/>
    <w:rsid w:val="DD9F5B34"/>
    <w:rsid w:val="DDD735F3"/>
    <w:rsid w:val="DEB79E3F"/>
    <w:rsid w:val="DEBF33E5"/>
    <w:rsid w:val="DEFDBEF8"/>
    <w:rsid w:val="DFBF38E8"/>
    <w:rsid w:val="DFFFF9FF"/>
    <w:rsid w:val="E3FE6842"/>
    <w:rsid w:val="E4DB16C6"/>
    <w:rsid w:val="EB4F57B4"/>
    <w:rsid w:val="ECDBEEE8"/>
    <w:rsid w:val="ED9FFE47"/>
    <w:rsid w:val="EEEC23F6"/>
    <w:rsid w:val="EFB398BA"/>
    <w:rsid w:val="EFD99B81"/>
    <w:rsid w:val="EFFDFA5D"/>
    <w:rsid w:val="F3A516B3"/>
    <w:rsid w:val="F5DC0A9C"/>
    <w:rsid w:val="F5DD63AC"/>
    <w:rsid w:val="F7EFF773"/>
    <w:rsid w:val="F7FDF7DA"/>
    <w:rsid w:val="F7FEF2B2"/>
    <w:rsid w:val="FABFC3CB"/>
    <w:rsid w:val="FBBFEB3E"/>
    <w:rsid w:val="FBFD0175"/>
    <w:rsid w:val="FDF9C3B7"/>
    <w:rsid w:val="FEDD860D"/>
    <w:rsid w:val="FEDF8FA5"/>
    <w:rsid w:val="FEF5FCB3"/>
    <w:rsid w:val="FEF7734E"/>
    <w:rsid w:val="FF29D3C8"/>
    <w:rsid w:val="FF2F2661"/>
    <w:rsid w:val="FFAAB566"/>
    <w:rsid w:val="FFBF06F9"/>
    <w:rsid w:val="FFDD9ECC"/>
    <w:rsid w:val="FFDDB733"/>
    <w:rsid w:val="FFED15F4"/>
    <w:rsid w:val="FFED7AFA"/>
    <w:rsid w:val="FFFE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11</Pages>
  <Words>4132</Words>
  <Characters>544</Characters>
  <Lines>4</Lines>
  <Paragraphs>9</Paragraphs>
  <TotalTime>5</TotalTime>
  <ScaleCrop>false</ScaleCrop>
  <LinksUpToDate>false</LinksUpToDate>
  <CharactersWithSpaces>4667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2021-06-20T18:10:00Z</dcterms:created>
  <dc:creator>刘妍彤</dc:creator>
  <cp:lastModifiedBy>WANGQW</cp:lastModifiedBy>
  <cp:lastPrinted>2022-06-17T21:43:00Z</cp:lastPrinted>
  <dcterms:modified xsi:type="dcterms:W3CDTF">2023-07-31T11:57:00Z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