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深圳市市场监督管理局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光明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监管局行政执法岗位人员责任表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  <w:jc w:val="center"/>
        <w:rPr>
          <w:sz w:val="24"/>
          <w:szCs w:val="24"/>
        </w:rPr>
      </w:pPr>
    </w:p>
    <w:tbl>
      <w:tblPr>
        <w:tblStyle w:val="4"/>
        <w:tblW w:w="1421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6F7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2344"/>
        <w:gridCol w:w="1594"/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459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  务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主要职责和任务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局领导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陈建民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主持全面工作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曹威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协助局长开展工作，分管办公室（局安委办）、指挥协调科、信用监管科（市场消保广告科、网络市场监管科），联系新湖所。分管光明区两建办。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刘海鹏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协助局长开展工作，分管食品安全监管科，稽查科，联系光明所。分管光明区食药安办、光明区双打办、打传办。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吴良卫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协助局长开展工作，分管党建人事科（含工青妇工作）、质量标准计量科（知识产权科），农业和农产品监管科，联系公明所。分管光明区质量强区（打造深圳标准）办、光明区知识产权联系办。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文镜明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三级高级主办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协助局长开展工作，分管药品化妆品监管科（医疗器械监管科）、畜牧兽医科（动物卫生监督所），联系玉塘所。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李浩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四级高级主办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协助局长开展工作，分管许可注册科、特种设备安全监察科，联系凤凰所。分管光明区消费者委员会办公室。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tblCellSpacing w:w="0" w:type="dxa"/>
          <w:jc w:val="center"/>
        </w:trPr>
        <w:tc>
          <w:tcPr>
            <w:tcW w:w="1459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马怀宇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四级高级主办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助局长开展工作，分管法制科，特种设备安全监察科，联系马田所。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许可注册科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宋新宏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许庆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郭倩秀、李育辉、黄安婕、刘琦、张文琦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、陈梦然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1.处理商事登记业务及相关业务咨询；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2.处理农业、畜牧业、食品、药品、医疗器械、特种设备等行政审批服务事项受理、证书发放、业务咨询工作。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信用监管科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陈健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黄丹雯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谢雨林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质量标准计量科（知识产权科）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邓映均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唐立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陈建、俞浩蛟、代维伟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2.处理与其业务相关的日常监管、专项整治工作。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特种设备安全监察科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甘远辉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曾云丰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1.协助科长抓好分管的行政执法工作，监督落实行政执法工作计划或实施方案，规范执法工作程序和执法行为,保证行政执法工作依法进行；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2.负责承压类特种设备安全监管和业务指导；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3.负责科室绩效管理工作和指导窗口业务工作，协助科长抓好本部门的队伍管理。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刘劭政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right="0" w:right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2.负责机电类特种设备安全监管和业务指导，负责咨询投诉件办理工作、档案管理及系统信息化工作。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食品安全监管科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龚岩龙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刘文军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邱瑾、李文彬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农业和农产品监管科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房海飞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曾晋光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袁梓浩、曾剑威、黄三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药品化妆品监管科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刘可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谢振才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许晓明、马婷、林文强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畜牧兽医科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陈施宇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何力星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吴海杰、谌群口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2.处理与其业务相关的日常监管、投诉举报处理工作。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稽查科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黄晶鑫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为本部门依法行政的第一责任人,主持和负责本部门行政执法的全面工作。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1.贯彻落实国家、省、市有关法律、法规、规章和政策规定;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2.负责本部门行政执法工作的计划、组织和决策,组织研究、部署指导本部门执法工作,解决工作中存在的重大问题；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3.组织规范执法工作程序和执法行为,保证行政执法工作依法进行，抓好本部门的队伍管理。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张燕生、刘汉容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副科长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1.协助科长抓好分管的行政执法工作,监督落实行政执法工作计划或实施方案;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2.协助科长规范执法工作程序和执法行为,保证行政执法工作依法进行,抓好本部门的队伍管理。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卢浩、叶舒莹、卢斌、张耿铭、邹吉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1.在规定的职能范围和区域内,根据领导安排开展行政执法工作；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2.处理与其业务相关的日常监管、投诉举报处理或违法案件查办工作。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光明所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李苇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1.协助局长、分管领导做好各项行政执法工作,组织贯彻执行市场监管领域法律、法规和国家有关政策,对本单位各项工作负总责;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2.严格履行市场监管职责,合理安排人员分工,科学制定工作计划,组织开展日常监管执法工作。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陈泽楠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1.协助所长做好各项行政执法工作；2.落实本单位的行政执法工作计划或实施方案。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王思翱、黄文臣、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陈小燕、熊红燕、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戴青山、刘畅、潘晓杰、陈欣儿、何俊健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1.在规定的职能范围和区域内，根据领导安排开展行政执法工作；2.对日常监管及承办的违法案件依法进行调查取证并提出处理意见。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公明所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陈明汉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1.协助局长、分管领导做好各项行政执法工作,组织贯彻执行市场监管领域法律、法规和国家有关政策,对本单位各项工作负总责;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2.严格履行市场监管职责,合理安排人员分工,科学制定工作计划,组织开展日常监管执法工作。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</w:tblPrEx>
        <w:trPr>
          <w:trHeight w:val="922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王钦、仇英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1.协助科长做好各项行政执法工作；2.落实本单位的行政执法工作计划或实施方案。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2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李勇、奉娟、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陈碧霞、侯少波、何育英、陈康荣、陈明阳、林佳义、丁文涛、郑艺锋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1.在规定的职能范围和区域内，根据领导安排开展行政执法工作；2.对日常监管及承办的违法案件依法进行调查取证并提出处理意见。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新湖所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陈政华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1.协助局长、分管领导做好各项行政执法工作；2.落实本单位的行政执法工作计划或实施方案。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曹磊、柯茂滔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1.协助所长做好各项行政执法工作；2.落实本单位的行政执法工作计划或实施方案。</w:t>
            </w:r>
          </w:p>
          <w:p>
            <w:pPr>
              <w:pStyle w:val="2"/>
              <w:bidi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4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程照东、陈泽金、林正怀、张岩岩、朱斯、邱兆庚、钱金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1.在规定的职能范围和区域内，根据领导安排开展行政执法工作；2.对日常监管及承办的违法案件依法进行调查取证并提出处理意见。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凤凰所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胡小华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1.协助局长、分管领导做好各项行政执法工作；2.落实本单位的行政执法工作计划或实施方案。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李荣征、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朱世彬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3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龙新平、王水成、刘玉超、宋劲传、吴武杰、艾博雅、张欣钰、杨鸣鸣、万家云、陈烁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1.在规定的职能范围和区域内，根据领导安排开展行政执法工作；2..对日常监管及承办的违法案件依法进行调查取证并提出处理意见。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玉塘所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林少波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1.协助局长、分管领导做好各项行政执法工作；2.落实本单位的行政执法工作计划或实施方案。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王丹兵、李芳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1.协助所长做好各项行政执法工作；2.落实本单位的行政执法工作计划或实施方案。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禹哲良、叶剑威、陶伟兵、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陈汉朝、詹观万、郑纯柔、赖敬荣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1.在规定的职能范围和区域内，根据领导安排开展行政执法工作；2.对日常监管及承办的违法案件依法进行调查取证并提出处理意见。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59" w:type="dxa"/>
            <w:vMerge w:val="restart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马田所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张建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1.协助局长、分管领导做好各项行政执法工作；2.落实本单位的行政执法工作计划或实施方案。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苏芳、李文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副所长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1.协助科长做好各项行政执法工作；2.落实本单位的行政执法工作计划或实施方案。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7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5" w:hRule="atLeast"/>
          <w:tblCellSpacing w:w="0" w:type="dxa"/>
          <w:jc w:val="center"/>
        </w:trPr>
        <w:tc>
          <w:tcPr>
            <w:tcW w:w="1459" w:type="dxa"/>
            <w:vMerge w:val="continue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34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杨孚军、王新长、金一卓、彭海贝、曾醒、黄秋云、李光辉、叶佳伟、章潇奇、涂毓昭、张扬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、吴志明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执法员</w:t>
            </w:r>
          </w:p>
        </w:tc>
        <w:tc>
          <w:tcPr>
            <w:tcW w:w="8817" w:type="dxa"/>
            <w:tcBorders>
              <w:tl2br w:val="nil"/>
              <w:tr2bl w:val="nil"/>
            </w:tcBorders>
            <w:shd w:val="clear" w:color="auto" w:fill="F6F7F8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1.在规定的职能范围和区域内，根据领导安排开展行政执法工作；2.对日常监管及承办的违法案件依法进行调查取证并提出处理意见。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</w:tbl>
    <w:p>
      <w:pPr>
        <w:jc w:val="left"/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556D"/>
    <w:rsid w:val="038908D8"/>
    <w:rsid w:val="07A01A45"/>
    <w:rsid w:val="101D1F50"/>
    <w:rsid w:val="109A074C"/>
    <w:rsid w:val="125B745E"/>
    <w:rsid w:val="171731EE"/>
    <w:rsid w:val="19463D69"/>
    <w:rsid w:val="1DB7292E"/>
    <w:rsid w:val="1F2E4862"/>
    <w:rsid w:val="258C0DDD"/>
    <w:rsid w:val="286E6AFD"/>
    <w:rsid w:val="298F622A"/>
    <w:rsid w:val="2F186F93"/>
    <w:rsid w:val="3008282C"/>
    <w:rsid w:val="36A302BA"/>
    <w:rsid w:val="36F034F4"/>
    <w:rsid w:val="36FA45B0"/>
    <w:rsid w:val="37AA489B"/>
    <w:rsid w:val="3B375389"/>
    <w:rsid w:val="3E725D00"/>
    <w:rsid w:val="3FB46D56"/>
    <w:rsid w:val="41A36785"/>
    <w:rsid w:val="44D47A18"/>
    <w:rsid w:val="45B872F1"/>
    <w:rsid w:val="46523948"/>
    <w:rsid w:val="46E40852"/>
    <w:rsid w:val="47962FFF"/>
    <w:rsid w:val="49797D17"/>
    <w:rsid w:val="49A42F18"/>
    <w:rsid w:val="4A21779E"/>
    <w:rsid w:val="4A585233"/>
    <w:rsid w:val="4A6E0229"/>
    <w:rsid w:val="4A83556D"/>
    <w:rsid w:val="4F742FF9"/>
    <w:rsid w:val="4FF512DD"/>
    <w:rsid w:val="552D0B4D"/>
    <w:rsid w:val="57EF9A05"/>
    <w:rsid w:val="589470BB"/>
    <w:rsid w:val="60320560"/>
    <w:rsid w:val="66CD3BD5"/>
    <w:rsid w:val="699D7494"/>
    <w:rsid w:val="6CAD3358"/>
    <w:rsid w:val="707714A5"/>
    <w:rsid w:val="7110400A"/>
    <w:rsid w:val="7A1770D8"/>
    <w:rsid w:val="7AB968E7"/>
    <w:rsid w:val="7B26730F"/>
    <w:rsid w:val="7CD275B7"/>
    <w:rsid w:val="7F3834E8"/>
    <w:rsid w:val="7F9C4746"/>
    <w:rsid w:val="7FB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2022-08-05T14:35:00Z</dcterms:created>
  <dc:creator>王悦</dc:creator>
  <cp:lastModifiedBy>石晖靖</cp:lastModifiedBy>
  <dcterms:modified xsi:type="dcterms:W3CDTF">2023-10-19T09:04:23Z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6091AEA1927C41FA9F201015ED669C09</vt:lpwstr>
  </property>
</Properties>
</file>