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560" w:lineRule="exact"/>
        <w:jc w:val="both"/>
        <w:rPr>
          <w:rStyle w:val="8"/>
          <w:rFonts w:ascii="黑体" w:hAnsi="黑体" w:eastAsia="黑体" w:cs="黑体"/>
          <w:b w:val="0"/>
          <w:bCs/>
          <w:color w:val="040404"/>
          <w:sz w:val="32"/>
          <w:szCs w:val="32"/>
          <w:shd w:val="clear" w:color="auto" w:fill="FFFFFF"/>
        </w:rPr>
      </w:pPr>
      <w:r>
        <w:rPr>
          <w:rStyle w:val="8"/>
          <w:rFonts w:hint="eastAsia" w:ascii="黑体" w:hAnsi="黑体" w:eastAsia="黑体" w:cs="黑体"/>
          <w:b w:val="0"/>
          <w:bCs/>
          <w:color w:val="040404"/>
          <w:sz w:val="32"/>
          <w:szCs w:val="32"/>
          <w:shd w:val="clear" w:color="auto" w:fill="FFFFFF"/>
        </w:rPr>
        <w:t>附件2</w:t>
      </w:r>
    </w:p>
    <w:p>
      <w:pPr>
        <w:pStyle w:val="5"/>
        <w:widowControl/>
        <w:shd w:val="clear" w:color="auto" w:fill="FFFFFF"/>
        <w:spacing w:before="0" w:beforeAutospacing="0" w:after="0" w:afterAutospacing="0" w:line="560" w:lineRule="exact"/>
        <w:jc w:val="both"/>
        <w:rPr>
          <w:rStyle w:val="8"/>
          <w:rFonts w:ascii="方正小标宋简体" w:hAnsi="方正小标宋简体" w:eastAsia="方正小标宋简体" w:cs="方正小标宋简体"/>
          <w:b w:val="0"/>
          <w:bCs/>
          <w:color w:val="040404"/>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b w:val="0"/>
          <w:bCs/>
          <w:color w:val="040404"/>
          <w:sz w:val="44"/>
          <w:szCs w:val="44"/>
          <w:shd w:val="clear" w:color="auto" w:fill="FFFFFF"/>
        </w:rPr>
        <w:t>《</w:t>
      </w:r>
      <w:r>
        <w:rPr>
          <w:rFonts w:hint="eastAsia"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lang w:val="en-US" w:eastAsia="zh-CN"/>
        </w:rPr>
        <w:t>支持现代</w:t>
      </w:r>
      <w:r>
        <w:rPr>
          <w:rFonts w:hint="eastAsia" w:ascii="方正小标宋简体" w:hAnsi="方正小标宋简体" w:eastAsia="方正小标宋简体" w:cs="方正小标宋简体"/>
          <w:sz w:val="44"/>
          <w:szCs w:val="44"/>
        </w:rPr>
        <w:t>农业</w:t>
      </w:r>
      <w:r>
        <w:rPr>
          <w:rFonts w:hint="eastAsia" w:ascii="方正小标宋简体" w:hAnsi="方正小标宋简体" w:eastAsia="方正小标宋简体" w:cs="方正小标宋简体"/>
          <w:sz w:val="44"/>
          <w:szCs w:val="44"/>
          <w:lang w:val="en-US" w:eastAsia="zh-CN"/>
        </w:rPr>
        <w:t>高质量发</w:t>
      </w:r>
      <w:r>
        <w:rPr>
          <w:rFonts w:hint="eastAsia" w:ascii="方正小标宋简体" w:hAnsi="方正小标宋简体" w:eastAsia="方正小标宋简体" w:cs="方正小标宋简体"/>
          <w:sz w:val="44"/>
          <w:szCs w:val="44"/>
        </w:rPr>
        <w:t>展专项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8"/>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sz w:val="44"/>
          <w:szCs w:val="44"/>
        </w:rPr>
        <w:t>资金操作规程</w:t>
      </w:r>
      <w:r>
        <w:rPr>
          <w:rStyle w:val="8"/>
          <w:rFonts w:hint="eastAsia" w:ascii="方正小标宋简体" w:hAnsi="方正小标宋简体" w:eastAsia="方正小标宋简体" w:cs="方正小标宋简体"/>
          <w:b w:val="0"/>
          <w:bCs/>
          <w:color w:val="040404"/>
          <w:sz w:val="44"/>
          <w:szCs w:val="44"/>
          <w:shd w:val="clear" w:color="auto" w:fill="FFFFFF"/>
        </w:rPr>
        <w:t>（征求意见稿）》起草说明</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Style w:val="8"/>
          <w:rFonts w:ascii="黑体" w:hAnsi="黑体" w:eastAsia="黑体" w:cs="黑体"/>
          <w:b w:val="0"/>
          <w:bCs/>
          <w:color w:val="040404"/>
          <w:sz w:val="32"/>
          <w:szCs w:val="32"/>
          <w:shd w:val="clear" w:color="auto" w:fill="FFFFFF"/>
        </w:rPr>
      </w:pPr>
    </w:p>
    <w:p>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Style w:val="8"/>
          <w:rFonts w:ascii="黑体" w:hAnsi="黑体" w:eastAsia="黑体" w:cs="黑体"/>
          <w:b/>
          <w:bCs w:val="0"/>
          <w:color w:val="040404"/>
          <w:sz w:val="32"/>
          <w:szCs w:val="32"/>
          <w:shd w:val="clear" w:color="auto" w:fill="FFFFFF"/>
        </w:rPr>
      </w:pPr>
      <w:r>
        <w:rPr>
          <w:rStyle w:val="8"/>
          <w:rFonts w:hint="eastAsia" w:ascii="黑体" w:hAnsi="黑体" w:eastAsia="黑体" w:cs="黑体"/>
          <w:b w:val="0"/>
          <w:color w:val="040404"/>
          <w:sz w:val="32"/>
          <w:szCs w:val="32"/>
          <w:shd w:val="clear" w:color="auto" w:fill="FFFFFF"/>
        </w:rPr>
        <w:t>一、起草背景</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ascii="仿宋_GB2312" w:hAnsi="仿宋_GB2312" w:eastAsia="仿宋_GB2312" w:cs="仿宋_GB2312"/>
          <w:b w:val="0"/>
          <w:bCs/>
          <w:color w:val="040404"/>
          <w:sz w:val="32"/>
          <w:szCs w:val="32"/>
          <w:shd w:val="clear" w:color="auto" w:fill="FFFFFF"/>
        </w:rPr>
        <w:t>2023</w:t>
      </w:r>
      <w:r>
        <w:rPr>
          <w:rStyle w:val="8"/>
          <w:rFonts w:hint="eastAsia" w:ascii="仿宋_GB2312" w:hAnsi="仿宋_GB2312" w:eastAsia="仿宋_GB2312" w:cs="仿宋_GB2312"/>
          <w:b w:val="0"/>
          <w:bCs/>
          <w:color w:val="040404"/>
          <w:sz w:val="32"/>
          <w:szCs w:val="32"/>
          <w:shd w:val="clear" w:color="auto" w:fill="FFFFFF"/>
        </w:rPr>
        <w:t>年</w:t>
      </w:r>
      <w:r>
        <w:rPr>
          <w:rStyle w:val="8"/>
          <w:rFonts w:ascii="仿宋_GB2312" w:hAnsi="仿宋_GB2312" w:eastAsia="仿宋_GB2312" w:cs="仿宋_GB2312"/>
          <w:b w:val="0"/>
          <w:bCs/>
          <w:color w:val="040404"/>
          <w:sz w:val="32"/>
          <w:szCs w:val="32"/>
          <w:shd w:val="clear" w:color="auto" w:fill="FFFFFF"/>
        </w:rPr>
        <w:t>9</w:t>
      </w:r>
      <w:r>
        <w:rPr>
          <w:rStyle w:val="8"/>
          <w:rFonts w:hint="eastAsia" w:ascii="仿宋_GB2312" w:hAnsi="仿宋_GB2312" w:eastAsia="仿宋_GB2312" w:cs="仿宋_GB2312"/>
          <w:b w:val="0"/>
          <w:bCs/>
          <w:color w:val="040404"/>
          <w:sz w:val="32"/>
          <w:szCs w:val="32"/>
          <w:shd w:val="clear" w:color="auto" w:fill="FFFFFF"/>
        </w:rPr>
        <w:t>月6日，《深圳市支持现代农业高质量发展的若干措施》（深市监规〔2023〕4号，以下简称《若干措施》）经市政府同意印发，《若干措施》在专项资金规模、扶持类型方向、资助对象数量和复杂程度等方面较以往扶持政策都有较大提升，对农业发展专项资金具体工作提出更高要求。</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为推动我市现代农业高质量发展，加强专项资金管理，</w:t>
      </w:r>
      <w:r>
        <w:rPr>
          <w:rFonts w:hint="eastAsia" w:ascii="仿宋_GB2312" w:hAnsi="仿宋_GB2312" w:eastAsia="仿宋_GB2312" w:cs="仿宋_GB2312"/>
          <w:color w:val="040404"/>
          <w:sz w:val="32"/>
          <w:szCs w:val="32"/>
          <w:shd w:val="clear" w:color="auto" w:fill="FFFFFF"/>
        </w:rPr>
        <w:t>规范</w:t>
      </w:r>
      <w:r>
        <w:rPr>
          <w:rStyle w:val="8"/>
          <w:rFonts w:hint="eastAsia" w:ascii="仿宋_GB2312" w:hAnsi="仿宋_GB2312" w:eastAsia="仿宋_GB2312" w:cs="仿宋_GB2312"/>
          <w:b w:val="0"/>
          <w:bCs/>
          <w:color w:val="040404"/>
          <w:sz w:val="32"/>
          <w:szCs w:val="32"/>
          <w:shd w:val="clear" w:color="auto" w:fill="FFFFFF"/>
        </w:rPr>
        <w:t>专项资金</w:t>
      </w:r>
      <w:r>
        <w:rPr>
          <w:rFonts w:hint="eastAsia" w:ascii="仿宋_GB2312" w:hAnsi="仿宋_GB2312" w:eastAsia="仿宋_GB2312" w:cs="仿宋_GB2312"/>
          <w:color w:val="040404"/>
          <w:sz w:val="32"/>
          <w:szCs w:val="32"/>
          <w:shd w:val="clear" w:color="auto" w:fill="FFFFFF"/>
        </w:rPr>
        <w:t>项目申报、审核和管理等流程，</w:t>
      </w:r>
      <w:r>
        <w:rPr>
          <w:rStyle w:val="8"/>
          <w:rFonts w:hint="eastAsia" w:ascii="仿宋_GB2312" w:hAnsi="仿宋_GB2312" w:eastAsia="仿宋_GB2312" w:cs="仿宋_GB2312"/>
          <w:b w:val="0"/>
          <w:bCs/>
          <w:color w:val="040404"/>
          <w:sz w:val="32"/>
          <w:szCs w:val="32"/>
          <w:shd w:val="clear" w:color="auto" w:fill="FFFFFF"/>
        </w:rPr>
        <w:t>我局起草了《深圳市</w:t>
      </w:r>
      <w:r>
        <w:rPr>
          <w:rStyle w:val="8"/>
          <w:rFonts w:hint="eastAsia" w:ascii="仿宋_GB2312" w:hAnsi="仿宋_GB2312" w:eastAsia="仿宋_GB2312" w:cs="仿宋_GB2312"/>
          <w:b w:val="0"/>
          <w:bCs/>
          <w:color w:val="040404"/>
          <w:sz w:val="32"/>
          <w:szCs w:val="32"/>
          <w:shd w:val="clear" w:color="auto" w:fill="FFFFFF"/>
          <w:lang w:val="en-US" w:eastAsia="zh-CN"/>
        </w:rPr>
        <w:t>支持现代</w:t>
      </w:r>
      <w:r>
        <w:rPr>
          <w:rStyle w:val="8"/>
          <w:rFonts w:hint="eastAsia" w:ascii="仿宋_GB2312" w:hAnsi="仿宋_GB2312" w:eastAsia="仿宋_GB2312" w:cs="仿宋_GB2312"/>
          <w:b w:val="0"/>
          <w:bCs/>
          <w:color w:val="040404"/>
          <w:sz w:val="32"/>
          <w:szCs w:val="32"/>
          <w:shd w:val="clear" w:color="auto" w:fill="FFFFFF"/>
        </w:rPr>
        <w:t>农业</w:t>
      </w:r>
      <w:r>
        <w:rPr>
          <w:rStyle w:val="8"/>
          <w:rFonts w:hint="eastAsia" w:ascii="仿宋_GB2312" w:hAnsi="仿宋_GB2312" w:eastAsia="仿宋_GB2312" w:cs="仿宋_GB2312"/>
          <w:b w:val="0"/>
          <w:bCs/>
          <w:color w:val="040404"/>
          <w:sz w:val="32"/>
          <w:szCs w:val="32"/>
          <w:shd w:val="clear" w:color="auto" w:fill="FFFFFF"/>
          <w:lang w:val="en-US" w:eastAsia="zh-CN"/>
        </w:rPr>
        <w:t>高</w:t>
      </w:r>
      <w:r>
        <w:rPr>
          <w:rStyle w:val="8"/>
          <w:rFonts w:hint="eastAsia" w:ascii="仿宋_GB2312" w:hAnsi="仿宋_GB2312" w:eastAsia="仿宋_GB2312" w:cs="仿宋_GB2312"/>
          <w:b w:val="0"/>
          <w:bCs/>
          <w:color w:val="040404"/>
          <w:sz w:val="32"/>
          <w:szCs w:val="32"/>
          <w:shd w:val="clear" w:color="auto" w:fill="FFFFFF"/>
        </w:rPr>
        <w:t>发展专项资金操作规程（征求意见稿）》</w:t>
      </w:r>
      <w:r>
        <w:rPr>
          <w:rFonts w:hint="eastAsia" w:ascii="仿宋_GB2312" w:hAnsi="仿宋_GB2312" w:eastAsia="仿宋_GB2312" w:cs="仿宋_GB2312"/>
          <w:color w:val="040404"/>
          <w:sz w:val="32"/>
          <w:szCs w:val="32"/>
          <w:shd w:val="clear" w:color="auto" w:fill="FFFFFF"/>
        </w:rPr>
        <w:t>（以下简称《操作规程》）</w:t>
      </w:r>
      <w:r>
        <w:rPr>
          <w:rStyle w:val="8"/>
          <w:rFonts w:hint="eastAsia" w:ascii="仿宋_GB2312" w:hAnsi="仿宋_GB2312" w:eastAsia="仿宋_GB2312" w:cs="仿宋_GB2312"/>
          <w:b w:val="0"/>
          <w:bCs/>
          <w:color w:val="040404"/>
          <w:sz w:val="32"/>
          <w:szCs w:val="32"/>
          <w:shd w:val="clear" w:color="auto" w:fill="FFFFFF"/>
        </w:rPr>
        <w:t>。</w:t>
      </w:r>
    </w:p>
    <w:p>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Style w:val="8"/>
          <w:rFonts w:ascii="黑体" w:hAnsi="黑体" w:eastAsia="黑体" w:cs="黑体"/>
          <w:b w:val="0"/>
          <w:color w:val="040404"/>
          <w:sz w:val="32"/>
          <w:szCs w:val="32"/>
          <w:shd w:val="clear" w:color="auto" w:fill="FFFFFF"/>
        </w:rPr>
      </w:pPr>
      <w:r>
        <w:rPr>
          <w:rStyle w:val="8"/>
          <w:rFonts w:hint="eastAsia" w:ascii="黑体" w:hAnsi="黑体" w:eastAsia="黑体" w:cs="黑体"/>
          <w:b w:val="0"/>
          <w:color w:val="040404"/>
          <w:sz w:val="32"/>
          <w:szCs w:val="32"/>
          <w:shd w:val="clear" w:color="auto" w:fill="FFFFFF"/>
        </w:rPr>
        <w:t>二、重点内容</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《操作规程》共分有七章三十七条，分为总则，工作职责，项目申报基本条件，</w:t>
      </w:r>
      <w:r>
        <w:rPr>
          <w:rStyle w:val="8"/>
          <w:rFonts w:hint="eastAsia" w:ascii="仿宋_GB2312" w:hAnsi="仿宋_GB2312" w:eastAsia="仿宋_GB2312" w:cs="仿宋_GB2312"/>
          <w:b w:val="0"/>
          <w:bCs/>
          <w:color w:val="040404"/>
          <w:sz w:val="32"/>
          <w:szCs w:val="32"/>
          <w:shd w:val="clear" w:color="auto" w:fill="FFFFFF"/>
        </w:rPr>
        <w:t>项目专项条件、资助范围、标准及审批方式</w:t>
      </w:r>
      <w:r>
        <w:rPr>
          <w:rFonts w:hint="eastAsia" w:ascii="仿宋_GB2312" w:hAnsi="仿宋_GB2312" w:eastAsia="仿宋_GB2312" w:cs="仿宋_GB2312"/>
          <w:color w:val="040404"/>
          <w:sz w:val="32"/>
          <w:szCs w:val="32"/>
          <w:shd w:val="clear" w:color="auto" w:fill="FFFFFF"/>
        </w:rPr>
        <w:t>，资助计划的组织与实施，绩效评价</w:t>
      </w:r>
      <w:r>
        <w:rPr>
          <w:rStyle w:val="8"/>
          <w:rFonts w:hint="eastAsia" w:ascii="仿宋_GB2312" w:hAnsi="仿宋_GB2312" w:eastAsia="仿宋_GB2312" w:cs="仿宋_GB2312"/>
          <w:b w:val="0"/>
          <w:bCs/>
          <w:color w:val="040404"/>
          <w:sz w:val="32"/>
          <w:szCs w:val="32"/>
          <w:shd w:val="clear" w:color="auto" w:fill="FFFFFF"/>
        </w:rPr>
        <w:t>与监督管理，附则</w:t>
      </w:r>
      <w:r>
        <w:rPr>
          <w:rFonts w:hint="eastAsia" w:ascii="仿宋_GB2312" w:hAnsi="仿宋_GB2312" w:eastAsia="仿宋_GB2312" w:cs="仿宋_GB2312"/>
          <w:color w:val="040404"/>
          <w:sz w:val="32"/>
          <w:szCs w:val="32"/>
          <w:shd w:val="clear" w:color="auto" w:fill="FFFFFF"/>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第一章“总则”明确了《操作规程》的依据、适用对象、资助方式、审批方式。</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第二章“工作职责”规定了组织实施部门、第三方专业机构和申报主体的职责。</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第三章“项目申报基本条件”规定了农业发展专项资金申报主体和项目所要满足的基本条件和要求。</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第四章“项目专项条件、资助范围、标准及审批方式”规定了申报主体和项目的专项条件、资助范围、资助标准和审批方式。</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第五章“资助计划的组织与实施”规定了项目组织实施流程、审批程序、项目退出机制。</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第六章“绩效评价与监督管理”规定了对组织实施部门、申报主体、第三方服务机构和专家的监督管理要求。</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第七章“附则”主要是明确未尽事宜相关要求以及《操作规程》有效期。</w:t>
      </w:r>
    </w:p>
    <w:p>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Style w:val="8"/>
          <w:rFonts w:ascii="黑体" w:hAnsi="黑体" w:eastAsia="黑体" w:cs="黑体"/>
          <w:b/>
          <w:bCs w:val="0"/>
          <w:color w:val="040404"/>
          <w:sz w:val="32"/>
          <w:szCs w:val="32"/>
          <w:shd w:val="clear" w:color="auto" w:fill="FFFFFF"/>
        </w:rPr>
      </w:pPr>
      <w:r>
        <w:rPr>
          <w:rStyle w:val="8"/>
          <w:rFonts w:hint="eastAsia" w:ascii="黑体" w:hAnsi="黑体" w:eastAsia="黑体" w:cs="黑体"/>
          <w:b w:val="0"/>
          <w:color w:val="040404"/>
          <w:sz w:val="32"/>
          <w:szCs w:val="32"/>
          <w:shd w:val="clear" w:color="auto" w:fill="FFFFFF"/>
        </w:rPr>
        <w:t>三、主要特点</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对专项资金的组织、申报、审核、监督、管理等方面内容作出了较为系统性的规定，进一步增强了专项资金的规范性和可操作性。</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对专项资金申报主体和项目的具体条件、资助范围、审批方式等做出了较为明确的规定，进一步增强了政策的落地性</w:t>
      </w:r>
      <w:r>
        <w:rPr>
          <w:rFonts w:hint="eastAsia" w:ascii="仿宋_GB2312" w:hAnsi="仿宋_GB2312" w:eastAsia="仿宋_GB2312" w:cs="仿宋_GB2312"/>
          <w:sz w:val="32"/>
          <w:szCs w:val="32"/>
        </w:rPr>
        <w:t>。</w:t>
      </w:r>
      <w:bookmarkStart w:id="0" w:name="_GoBack"/>
      <w:bookmarkEnd w:id="0"/>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eastAsia="仿宋_GB2312" w:cs="仿宋_GB2312"/>
          <w:b w:val="0"/>
          <w:bCs/>
          <w:color w:val="040404"/>
          <w:sz w:val="32"/>
          <w:szCs w:val="32"/>
          <w:shd w:val="clear" w:color="auto" w:fill="FFFFFF"/>
        </w:rPr>
      </w:pPr>
      <w:r>
        <w:rPr>
          <w:rStyle w:val="8"/>
          <w:rFonts w:hint="eastAsia" w:ascii="仿宋_GB2312" w:hAnsi="仿宋_GB2312" w:eastAsia="仿宋_GB2312" w:cs="仿宋_GB2312"/>
          <w:b w:val="0"/>
          <w:bCs/>
          <w:color w:val="040404"/>
          <w:sz w:val="32"/>
          <w:szCs w:val="32"/>
          <w:shd w:val="clear" w:color="auto" w:fill="FFFFFF"/>
        </w:rPr>
        <w:t>对于《若干措施》中较为重要但未明确定义的名词新增了释义，如“生物育种”“农作物新品种”“畜禽新品种”“食品装备”“精准营养与功能性食品”“设施农业”“农产品可追溯平台”“不可食用生猪产品”“高标准农田”。</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A0D07"/>
    <w:multiLevelType w:val="singleLevel"/>
    <w:tmpl w:val="630A0D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NzE3YzlmOWU0ZDdkYTZkMjY5Y2E4MWE5ZThhZGYifQ=="/>
  </w:docVars>
  <w:rsids>
    <w:rsidRoot w:val="00EE4008"/>
    <w:rsid w:val="00030C45"/>
    <w:rsid w:val="000A66E3"/>
    <w:rsid w:val="000C0994"/>
    <w:rsid w:val="000F0170"/>
    <w:rsid w:val="00121F3C"/>
    <w:rsid w:val="00132D76"/>
    <w:rsid w:val="001648B9"/>
    <w:rsid w:val="00174380"/>
    <w:rsid w:val="001C00CF"/>
    <w:rsid w:val="0020110B"/>
    <w:rsid w:val="00215648"/>
    <w:rsid w:val="0026667F"/>
    <w:rsid w:val="002A7523"/>
    <w:rsid w:val="002F64D8"/>
    <w:rsid w:val="003927E2"/>
    <w:rsid w:val="00397162"/>
    <w:rsid w:val="003B7E08"/>
    <w:rsid w:val="004372E3"/>
    <w:rsid w:val="004635DE"/>
    <w:rsid w:val="004B5CFF"/>
    <w:rsid w:val="00504019"/>
    <w:rsid w:val="00554465"/>
    <w:rsid w:val="006000CB"/>
    <w:rsid w:val="00623820"/>
    <w:rsid w:val="006A4AE4"/>
    <w:rsid w:val="007070B4"/>
    <w:rsid w:val="007152E7"/>
    <w:rsid w:val="00743936"/>
    <w:rsid w:val="007B74F8"/>
    <w:rsid w:val="00873F6E"/>
    <w:rsid w:val="00882394"/>
    <w:rsid w:val="008D774A"/>
    <w:rsid w:val="008E1C62"/>
    <w:rsid w:val="008F6FA0"/>
    <w:rsid w:val="00901022"/>
    <w:rsid w:val="00994316"/>
    <w:rsid w:val="00A70C6A"/>
    <w:rsid w:val="00AB67C1"/>
    <w:rsid w:val="00AE6953"/>
    <w:rsid w:val="00B30581"/>
    <w:rsid w:val="00B41A39"/>
    <w:rsid w:val="00B82EA9"/>
    <w:rsid w:val="00B9699C"/>
    <w:rsid w:val="00BC12B1"/>
    <w:rsid w:val="00BF2E2D"/>
    <w:rsid w:val="00C1681D"/>
    <w:rsid w:val="00C16AC8"/>
    <w:rsid w:val="00CD515D"/>
    <w:rsid w:val="00CE604E"/>
    <w:rsid w:val="00D507E3"/>
    <w:rsid w:val="00D64958"/>
    <w:rsid w:val="00DE3C19"/>
    <w:rsid w:val="00E00FBC"/>
    <w:rsid w:val="00E17773"/>
    <w:rsid w:val="00EB0C59"/>
    <w:rsid w:val="00EC4F07"/>
    <w:rsid w:val="00EC5E8F"/>
    <w:rsid w:val="00EE4008"/>
    <w:rsid w:val="00F230A0"/>
    <w:rsid w:val="217F1109"/>
    <w:rsid w:val="3FB4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脚 字符"/>
    <w:basedOn w:val="7"/>
    <w:link w:val="3"/>
    <w:qFormat/>
    <w:uiPriority w:val="0"/>
    <w:rPr>
      <w:rFonts w:ascii="Times New Roman" w:hAnsi="Times New Roman" w:eastAsia="宋体" w:cs="Times New Roman"/>
      <w:sz w:val="18"/>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标题 1 字符"/>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764</Characters>
  <Lines>6</Lines>
  <Paragraphs>1</Paragraphs>
  <TotalTime>8</TotalTime>
  <ScaleCrop>false</ScaleCrop>
  <LinksUpToDate>false</LinksUpToDate>
  <CharactersWithSpaces>897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2023-12-21T21:24:00Z</dcterms:created>
  <dc:creator>Z</dc:creator>
  <cp:lastModifiedBy>提拉米大叔叔</cp:lastModifiedBy>
  <dcterms:modified xsi:type="dcterms:W3CDTF">2023-12-25T01:31:18Z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0CFF076370BA457FB21DF13536E9CD02_12</vt:lpwstr>
  </property>
</Properties>
</file>