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A9" w:rsidRPr="00FF0136" w:rsidRDefault="00A421A9" w:rsidP="00A421A9">
      <w:pPr>
        <w:rPr>
          <w:rFonts w:ascii="黑体" w:eastAsia="黑体" w:hAnsi="黑体"/>
          <w:sz w:val="32"/>
          <w:szCs w:val="32"/>
        </w:rPr>
      </w:pPr>
      <w:r w:rsidRPr="00FF0136">
        <w:rPr>
          <w:rFonts w:ascii="黑体" w:eastAsia="黑体" w:hAnsi="黑体" w:hint="eastAsia"/>
          <w:sz w:val="32"/>
          <w:szCs w:val="32"/>
        </w:rPr>
        <w:t>附件</w:t>
      </w:r>
    </w:p>
    <w:p w:rsidR="00A421A9" w:rsidRPr="00FF0136" w:rsidRDefault="00A421A9" w:rsidP="00A421A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F0136">
        <w:rPr>
          <w:rFonts w:ascii="华文中宋" w:eastAsia="华文中宋" w:hAnsi="华文中宋" w:hint="eastAsia"/>
          <w:b/>
          <w:sz w:val="44"/>
          <w:szCs w:val="44"/>
        </w:rPr>
        <w:t>深圳市开展创建“放心肉菜示范超市”活动的超市名单</w:t>
      </w:r>
    </w:p>
    <w:tbl>
      <w:tblPr>
        <w:tblW w:w="53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05"/>
        <w:gridCol w:w="970"/>
        <w:gridCol w:w="4851"/>
        <w:gridCol w:w="1486"/>
        <w:gridCol w:w="1347"/>
        <w:gridCol w:w="1890"/>
        <w:gridCol w:w="1347"/>
        <w:gridCol w:w="1213"/>
      </w:tblGrid>
      <w:tr w:rsidR="00A421A9" w:rsidRPr="00615352" w:rsidTr="00D86195">
        <w:trPr>
          <w:trHeight w:val="1235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超市名称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所在区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法定代表人/负责人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超市监督投诉电话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超市电子邮箱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属地监管部门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b/>
                <w:sz w:val="24"/>
              </w:rPr>
            </w:pPr>
            <w:r w:rsidRPr="00A0452E">
              <w:rPr>
                <w:rFonts w:ascii="宋体" w:hAnsi="宋体" w:hint="eastAsia"/>
                <w:b/>
                <w:sz w:val="24"/>
              </w:rPr>
              <w:t>监管部门投诉举报电话</w:t>
            </w:r>
          </w:p>
        </w:tc>
      </w:tr>
      <w:tr w:rsidR="00A421A9" w:rsidRPr="00615352" w:rsidTr="00D86195">
        <w:trPr>
          <w:trHeight w:val="928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华</w:t>
            </w:r>
            <w:r w:rsidRPr="00A0452E">
              <w:rPr>
                <w:rFonts w:ascii="宋体" w:hAnsi="宋体"/>
                <w:sz w:val="24"/>
              </w:rPr>
              <w:t>润万家有限公司</w:t>
            </w:r>
            <w:r w:rsidRPr="00A0452E">
              <w:rPr>
                <w:rFonts w:ascii="宋体" w:hAnsi="宋体" w:hint="eastAsia"/>
                <w:sz w:val="24"/>
              </w:rPr>
              <w:t>南</w:t>
            </w:r>
            <w:r w:rsidRPr="00A0452E">
              <w:rPr>
                <w:rFonts w:ascii="宋体" w:hAnsi="宋体"/>
                <w:sz w:val="24"/>
              </w:rPr>
              <w:t>联店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龙</w:t>
            </w:r>
            <w:r w:rsidRPr="00A0452E">
              <w:rPr>
                <w:rFonts w:ascii="宋体" w:hAnsi="宋体"/>
                <w:sz w:val="24"/>
              </w:rPr>
              <w:t>岗区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深圳市龙岗区龙岗街道平南社区深惠路860号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摩尔城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S106、S107、S210、S310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李达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89353001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龙岗局/龙</w:t>
            </w:r>
            <w:r w:rsidRPr="00A0452E">
              <w:rPr>
                <w:rFonts w:ascii="宋体" w:hAnsi="宋体"/>
                <w:sz w:val="24"/>
              </w:rPr>
              <w:t>岗</w:t>
            </w:r>
            <w:r w:rsidRPr="00A0452E">
              <w:rPr>
                <w:rFonts w:ascii="宋体" w:hAnsi="宋体" w:hint="eastAsia"/>
                <w:sz w:val="24"/>
              </w:rPr>
              <w:t>监管</w:t>
            </w:r>
            <w:r w:rsidRPr="00A0452E">
              <w:rPr>
                <w:rFonts w:ascii="宋体" w:hAnsi="宋体"/>
                <w:sz w:val="24"/>
              </w:rPr>
              <w:t>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</w:t>
            </w:r>
            <w:r w:rsidRPr="00A0452E">
              <w:rPr>
                <w:rFonts w:ascii="宋体" w:hAnsi="宋体"/>
                <w:sz w:val="24"/>
              </w:rPr>
              <w:t>2315</w:t>
            </w:r>
          </w:p>
        </w:tc>
      </w:tr>
      <w:tr w:rsidR="00A421A9" w:rsidRPr="00615352" w:rsidTr="00D86195">
        <w:trPr>
          <w:trHeight w:val="844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华润万家有限公司大鹏店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深圳市大鹏新区大鹏办事处岭澳社区佳兆业广场商业区3-101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李达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25030416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hnkf@crv.com.cn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大鹏局/大鹏所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  <w:tr w:rsidR="00A421A9" w:rsidRPr="00615352" w:rsidTr="00D86195">
        <w:trPr>
          <w:trHeight w:val="1127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华润万家有限公司沙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井创新店</w:t>
            </w:r>
            <w:proofErr w:type="gramEnd"/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深圳市宝安区沙井街道沙井路168号京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基百纳广场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1，2，3楼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李达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23733310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LEIGUANGBAO@crv.com.cn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宝安局/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沙井所</w:t>
            </w:r>
            <w:proofErr w:type="gramEnd"/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  <w:tr w:rsidR="00A421A9" w:rsidRPr="00615352" w:rsidTr="00D86195">
        <w:trPr>
          <w:trHeight w:val="1760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4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深圳华润万佳超级市场有限公司欢乐海岸分店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南山区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hint="eastAsia"/>
                <w:color w:val="000000"/>
                <w:sz w:val="24"/>
              </w:rPr>
              <w:t>深圳市南山区白石路东8号欢乐海岸购物中心G层－001号商铺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hint="eastAsia"/>
                <w:color w:val="000000"/>
                <w:sz w:val="24"/>
              </w:rPr>
              <w:t>吴杰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86526893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a01u_zjzy@crvanguard.com.cn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南山局/沙河所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spacing w:line="44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 w:rsidRPr="00A0452E">
              <w:rPr>
                <w:rFonts w:ascii="宋体" w:hAnsi="宋体" w:cs="仿宋" w:hint="eastAsia"/>
                <w:color w:val="000000"/>
                <w:sz w:val="24"/>
              </w:rPr>
              <w:t>12315</w:t>
            </w:r>
          </w:p>
        </w:tc>
      </w:tr>
      <w:tr w:rsidR="00A421A9" w:rsidRPr="00615352" w:rsidTr="00D86195">
        <w:trPr>
          <w:trHeight w:val="1412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天虹商场股份有限公司国贸天虹商场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深圳市罗湖区人民南路国贸大厦A区1-5层及天安商场1-4层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王瑾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18923782274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tanh@rainhowcn.com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南湖所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  <w:tr w:rsidR="00A421A9" w:rsidRPr="00615352" w:rsidTr="00D86195">
        <w:trPr>
          <w:trHeight w:val="1405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Arial"/>
                <w:color w:val="000000"/>
                <w:sz w:val="24"/>
              </w:rPr>
              <w:t>天虹商场股份有限公司坪山天虹商场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0452E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Arial"/>
                <w:color w:val="000000"/>
                <w:sz w:val="24"/>
              </w:rPr>
              <w:t>深圳市</w:t>
            </w:r>
            <w:proofErr w:type="gramStart"/>
            <w:r w:rsidRPr="00A0452E">
              <w:rPr>
                <w:rFonts w:ascii="宋体" w:hAnsi="宋体" w:cs="Arial"/>
                <w:color w:val="000000"/>
                <w:sz w:val="24"/>
              </w:rPr>
              <w:t>坪山区</w:t>
            </w:r>
            <w:proofErr w:type="gramEnd"/>
            <w:r w:rsidRPr="00A0452E">
              <w:rPr>
                <w:rFonts w:ascii="宋体" w:hAnsi="宋体" w:cs="Arial"/>
                <w:color w:val="000000"/>
                <w:sz w:val="24"/>
              </w:rPr>
              <w:t>坪山办事处东</w:t>
            </w:r>
            <w:proofErr w:type="gramStart"/>
            <w:r w:rsidRPr="00A0452E">
              <w:rPr>
                <w:rFonts w:ascii="宋体" w:hAnsi="宋体" w:cs="Arial"/>
                <w:color w:val="000000"/>
                <w:sz w:val="24"/>
              </w:rPr>
              <w:t>晟</w:t>
            </w:r>
            <w:proofErr w:type="gramEnd"/>
            <w:r w:rsidRPr="00A0452E">
              <w:rPr>
                <w:rFonts w:ascii="宋体" w:hAnsi="宋体" w:cs="Arial"/>
                <w:color w:val="000000"/>
                <w:sz w:val="24"/>
              </w:rPr>
              <w:t>时代花园2、3号裙楼1-3层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Arial"/>
                <w:color w:val="000000"/>
                <w:sz w:val="24"/>
              </w:rPr>
              <w:t>金刚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28397874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Segoe UI"/>
                <w:color w:val="000000"/>
                <w:sz w:val="24"/>
              </w:rPr>
              <w:t>guodq@rainbowcn.cn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0452E">
              <w:rPr>
                <w:rFonts w:ascii="宋体" w:hAnsi="宋体" w:hint="eastAsia"/>
                <w:sz w:val="24"/>
              </w:rPr>
              <w:t>坪山局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/坪山所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  <w:tr w:rsidR="00A421A9" w:rsidRPr="00615352" w:rsidTr="00D86195">
        <w:trPr>
          <w:trHeight w:val="1195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Arial" w:hint="eastAsia"/>
                <w:color w:val="000000"/>
                <w:sz w:val="24"/>
              </w:rPr>
              <w:t>7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深圳市公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明天虹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商场有限公司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光明新区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深圳市光明新区公明办事处建设中路36号B座1至4楼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Segoe UI"/>
                <w:color w:val="000000"/>
                <w:sz w:val="24"/>
              </w:rPr>
              <w:t>高书林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Segoe UI"/>
                <w:color w:val="000000"/>
                <w:sz w:val="24"/>
              </w:rPr>
              <w:t>23402290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Segoe UI"/>
                <w:color w:val="000000"/>
                <w:sz w:val="24"/>
              </w:rPr>
              <w:t>caoyj@rainbowcn.com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光明局/公明所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  <w:tr w:rsidR="00A421A9" w:rsidRPr="00615352" w:rsidTr="00D86195">
        <w:trPr>
          <w:trHeight w:val="983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沃尔玛（深圳）百货有限公司龙华山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姆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会员商店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A0452E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龙华区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龙华街道梅</w:t>
            </w:r>
            <w:proofErr w:type="gramStart"/>
            <w:r w:rsidRPr="00A0452E">
              <w:rPr>
                <w:rFonts w:ascii="宋体" w:hAnsi="宋体" w:hint="eastAsia"/>
                <w:sz w:val="24"/>
              </w:rPr>
              <w:t>陇路1111号壹城</w:t>
            </w:r>
            <w:proofErr w:type="gramEnd"/>
            <w:r w:rsidRPr="00A0452E">
              <w:rPr>
                <w:rFonts w:ascii="宋体" w:hAnsi="宋体" w:hint="eastAsia"/>
                <w:sz w:val="24"/>
              </w:rPr>
              <w:t>中心17地块E区L1-020号铺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 w:cs="Segoe UI"/>
                <w:color w:val="000000"/>
                <w:sz w:val="24"/>
              </w:rPr>
            </w:pPr>
            <w:r w:rsidRPr="00A0452E">
              <w:rPr>
                <w:rFonts w:ascii="宋体" w:hAnsi="宋体" w:cs="Segoe UI" w:hint="eastAsia"/>
                <w:color w:val="000000"/>
                <w:sz w:val="24"/>
              </w:rPr>
              <w:t>李新林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</w:t>
            </w:r>
            <w:r w:rsidRPr="00A0452E">
              <w:rPr>
                <w:rFonts w:ascii="宋体" w:hAnsi="宋体"/>
                <w:sz w:val="24"/>
              </w:rPr>
              <w:t>8820462080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Paul.Du@walmart.com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龙华所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12315</w:t>
            </w:r>
          </w:p>
        </w:tc>
      </w:tr>
      <w:tr w:rsidR="00A421A9" w:rsidRPr="006565CE" w:rsidTr="00D86195">
        <w:trPr>
          <w:trHeight w:val="828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深圳沃尔玛百货零售有限公司香蜜湖分店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深圳市福田区香梅北路原深圳山姆会员店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范平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83931377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Ling.Zhou@walmart.com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福田区/香蜜湖所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  <w:tr w:rsidR="00A421A9" w:rsidRPr="00615352" w:rsidTr="00D86195">
        <w:trPr>
          <w:trHeight w:val="1265"/>
        </w:trPr>
        <w:tc>
          <w:tcPr>
            <w:tcW w:w="1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cs="Arial" w:hint="eastAsia"/>
                <w:color w:val="000000"/>
                <w:sz w:val="24"/>
              </w:rPr>
              <w:t>10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color w:val="333333"/>
                <w:sz w:val="24"/>
              </w:rPr>
              <w:t>深圳沃尔玛百货零售有限公司山</w:t>
            </w:r>
            <w:proofErr w:type="gramStart"/>
            <w:r w:rsidRPr="00A0452E">
              <w:rPr>
                <w:rFonts w:ascii="宋体" w:hAnsi="宋体" w:hint="eastAsia"/>
                <w:color w:val="333333"/>
                <w:sz w:val="24"/>
              </w:rPr>
              <w:t>姆</w:t>
            </w:r>
            <w:proofErr w:type="gramEnd"/>
            <w:r w:rsidRPr="00A0452E">
              <w:rPr>
                <w:rFonts w:ascii="宋体" w:hAnsi="宋体" w:hint="eastAsia"/>
                <w:color w:val="333333"/>
                <w:sz w:val="24"/>
              </w:rPr>
              <w:t>会员商店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color w:val="333333"/>
                <w:sz w:val="24"/>
              </w:rPr>
              <w:t>深圳市福田</w:t>
            </w:r>
            <w:proofErr w:type="gramStart"/>
            <w:r w:rsidRPr="00A0452E">
              <w:rPr>
                <w:rFonts w:ascii="宋体" w:hAnsi="宋体" w:hint="eastAsia"/>
                <w:color w:val="333333"/>
                <w:sz w:val="24"/>
              </w:rPr>
              <w:t>区侨香路</w:t>
            </w:r>
            <w:proofErr w:type="gramEnd"/>
            <w:r w:rsidRPr="00A0452E">
              <w:rPr>
                <w:rFonts w:ascii="宋体" w:hAnsi="宋体" w:hint="eastAsia"/>
                <w:color w:val="333333"/>
                <w:sz w:val="24"/>
              </w:rPr>
              <w:t>与农林路交界东南的深国投商业中心一层二层与负一</w:t>
            </w:r>
            <w:r w:rsidRPr="00A0452E">
              <w:rPr>
                <w:rFonts w:ascii="宋体" w:hAnsi="宋体" w:hint="eastAsia"/>
                <w:sz w:val="24"/>
              </w:rPr>
              <w:t>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 xml:space="preserve">Michael Jeffery </w:t>
            </w:r>
            <w:proofErr w:type="spellStart"/>
            <w:r w:rsidRPr="00A0452E">
              <w:rPr>
                <w:rFonts w:ascii="宋体" w:hAnsi="宋体" w:hint="eastAsia"/>
                <w:sz w:val="24"/>
              </w:rPr>
              <w:t>Brugger</w:t>
            </w:r>
            <w:proofErr w:type="spellEnd"/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82700017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/>
                <w:sz w:val="24"/>
              </w:rPr>
              <w:t>Fred.Zhou@walmart.com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福田区/香蜜湖所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421A9" w:rsidRPr="00A0452E" w:rsidRDefault="00A421A9" w:rsidP="00D86195">
            <w:pPr>
              <w:jc w:val="center"/>
              <w:rPr>
                <w:rFonts w:ascii="宋体" w:hAnsi="宋体"/>
                <w:sz w:val="24"/>
              </w:rPr>
            </w:pPr>
            <w:r w:rsidRPr="00A0452E">
              <w:rPr>
                <w:rFonts w:ascii="宋体" w:hAnsi="宋体" w:hint="eastAsia"/>
                <w:sz w:val="24"/>
              </w:rPr>
              <w:t>12315</w:t>
            </w:r>
          </w:p>
        </w:tc>
      </w:tr>
    </w:tbl>
    <w:p w:rsidR="005C2A8A" w:rsidRDefault="00F045EE">
      <w:bookmarkStart w:id="0" w:name="_GoBack"/>
      <w:bookmarkEnd w:id="0"/>
    </w:p>
    <w:sectPr w:rsidR="005C2A8A" w:rsidSect="00A421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EE" w:rsidRDefault="00F045EE" w:rsidP="00A421A9">
      <w:r>
        <w:separator/>
      </w:r>
    </w:p>
  </w:endnote>
  <w:endnote w:type="continuationSeparator" w:id="0">
    <w:p w:rsidR="00F045EE" w:rsidRDefault="00F045EE" w:rsidP="00A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EE" w:rsidRDefault="00F045EE" w:rsidP="00A421A9">
      <w:r>
        <w:separator/>
      </w:r>
    </w:p>
  </w:footnote>
  <w:footnote w:type="continuationSeparator" w:id="0">
    <w:p w:rsidR="00F045EE" w:rsidRDefault="00F045EE" w:rsidP="00A4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88"/>
    <w:rsid w:val="00952BFE"/>
    <w:rsid w:val="00A421A9"/>
    <w:rsid w:val="00E94D88"/>
    <w:rsid w:val="00F045EE"/>
    <w:rsid w:val="00F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许秀芝</dc:creator>
  <cp:keywords/>
  <dc:description/>
  <cp:lastModifiedBy>许秀芝</cp:lastModifiedBy>
  <cp:revision>2</cp:revision>
  <dcterms:created xsi:type="dcterms:W3CDTF">2017-11-30T08:08:00Z</dcterms:created>
  <dcterms:modified xsi:type="dcterms:W3CDTF">2017-11-30T08:09:00Z</dcterms:modified>
</cp:coreProperties>
</file>