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600" w:lineRule="exact"/>
        <w:jc w:val="left"/>
        <w:rPr>
          <w:rFonts w:ascii="黑体" w:hAnsi="黑体" w:eastAsia="黑体" w:cs="创艺简标宋"/>
          <w:color w:val="000000"/>
          <w:szCs w:val="32"/>
        </w:rPr>
      </w:pPr>
      <w:r>
        <w:rPr>
          <w:rFonts w:hint="eastAsia" w:ascii="黑体" w:hAnsi="黑体" w:eastAsia="黑体" w:cs="创艺简标宋"/>
          <w:color w:val="000000"/>
          <w:szCs w:val="32"/>
        </w:rPr>
        <w:t>附件</w:t>
      </w:r>
    </w:p>
    <w:p>
      <w:pPr>
        <w:shd w:val="clear" w:color="auto" w:fill="FFFFFF"/>
        <w:snapToGrid w:val="0"/>
        <w:spacing w:after="296" w:afterLines="50"/>
        <w:jc w:val="center"/>
        <w:rPr>
          <w:rFonts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药品批发（零售连锁）企业落实主体责任情况自查表</w:t>
      </w:r>
    </w:p>
    <w:p>
      <w:pPr>
        <w:rPr>
          <w:rFonts w:ascii="楷体" w:hAnsi="楷体" w:eastAsia="楷体" w:cs="创艺简标宋"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企业名称</w:t>
      </w:r>
      <w:r>
        <w:rPr>
          <w:rFonts w:hint="eastAsia" w:ascii="楷体" w:hAnsi="楷体" w:eastAsia="楷体"/>
          <w:color w:val="000000"/>
          <w:kern w:val="0"/>
          <w:sz w:val="28"/>
          <w:szCs w:val="28"/>
          <w:lang w:eastAsia="zh-CN"/>
        </w:rPr>
        <w:t>（盖章）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：</w:t>
      </w:r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                 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许可证号：</w:t>
      </w:r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 xml:space="preserve">  </w:t>
      </w:r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地址：</w:t>
      </w:r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 xml:space="preserve">   </w:t>
      </w:r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 xml:space="preserve">    自查日期：</w:t>
      </w:r>
    </w:p>
    <w:tbl>
      <w:tblPr>
        <w:tblStyle w:val="5"/>
        <w:tblW w:w="14390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8"/>
        <w:gridCol w:w="2046"/>
        <w:gridCol w:w="1981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2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违法违规类别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自查是否存在违法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违规情形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1.为他人违法经营药品提供场所、资质证明文件、票据等条件。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2.从个人或者无《药品生产许可证》《药品经营许可证》的单位购进药品。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3.向无合法资质的单位或者个人销售药品，向药品零售企业销售疫苗，知道或者应当知道他人从事无证经营仍为其提供药品。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4.伪造药品采购来源，虚构药品销售流向，篡改计算机系统、温湿度监测系统数据，隐瞒真实药品购销存记录、票据、凭证、数据等，药品购销存记录不完整、不真实，经营行为无法追溯。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.购销药品时，证（许可证书）、票（发票、随货同行票据）、账（实物账、财务账）、货（药品实物）、款（货款）不能相互对应一致；药品未入库，设立账外账，药品未纳入企业质量体系管理，使用银行个人账户进行业务往来等情形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6.将麻醉药品、精神药品和含特殊药品复方制剂流入非法渠道，或者进行现金交易。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7.在核准地址以外的场所储存药品。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8.未按规定对药品储存、运输、进行温湿度监测。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9.擅自改变注册地址、经营方式、经营范围销售药品。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10.向药品零售企业、诊所销售药品未做到开具销售发票且随货同行。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11.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企业未按照国家有关规定配备执业药师，执业药师不在职在岗，存在“挂证”行为。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12.药品零售连锁企业未执行或未监督所属连锁门店执行“三统一”规定。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13.存在其他违法违规情形。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4390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自查结论（可另附页）</w:t>
            </w: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4390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整改措施（可另附页）</w:t>
            </w: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7228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自查人员签名：</w:t>
            </w: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300" w:lineRule="exact"/>
              <w:ind w:firstLine="2929" w:firstLineChars="1450"/>
              <w:jc w:val="righ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 xml:space="preserve">月    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 xml:space="preserve">日  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企业法定代表人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企业负责人签名：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300" w:lineRule="exact"/>
              <w:jc w:val="righ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 xml:space="preserve">    日（章）  </w:t>
            </w:r>
          </w:p>
        </w:tc>
      </w:tr>
    </w:tbl>
    <w:p>
      <w:pPr>
        <w:spacing w:line="240" w:lineRule="exact"/>
        <w:rPr>
          <w:color w:val="000000"/>
          <w:sz w:val="24"/>
        </w:rPr>
      </w:pPr>
    </w:p>
    <w:p>
      <w:pPr>
        <w:shd w:val="clear" w:color="auto" w:fill="FFFFFF"/>
        <w:snapToGrid w:val="0"/>
        <w:spacing w:line="600" w:lineRule="exact"/>
        <w:jc w:val="left"/>
        <w:rPr>
          <w:rFonts w:hint="eastAsia" w:ascii="黑体" w:hAnsi="黑体" w:eastAsia="黑体" w:cs="创艺简标宋"/>
          <w:color w:val="000000"/>
          <w:szCs w:val="32"/>
        </w:rPr>
      </w:pPr>
      <w:r>
        <w:rPr>
          <w:color w:val="000000"/>
          <w:sz w:val="24"/>
        </w:rPr>
        <w:br w:type="page"/>
      </w:r>
    </w:p>
    <w:p>
      <w:pPr>
        <w:shd w:val="clear" w:color="auto" w:fill="FFFFFF"/>
        <w:snapToGrid w:val="0"/>
        <w:spacing w:after="296" w:afterLines="50"/>
        <w:jc w:val="center"/>
        <w:rPr>
          <w:rFonts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药品零售企业落实主体责任情况自查表</w:t>
      </w:r>
    </w:p>
    <w:p>
      <w:pPr>
        <w:rPr>
          <w:rFonts w:ascii="楷体" w:hAnsi="楷体" w:eastAsia="楷体" w:cs="创艺简标宋"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企业名称</w:t>
      </w:r>
      <w:r>
        <w:rPr>
          <w:rFonts w:hint="eastAsia" w:ascii="楷体" w:hAnsi="楷体" w:eastAsia="楷体"/>
          <w:color w:val="000000"/>
          <w:kern w:val="0"/>
          <w:sz w:val="28"/>
          <w:szCs w:val="28"/>
          <w:lang w:eastAsia="zh-CN"/>
        </w:rPr>
        <w:t>（盖章）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：</w:t>
      </w:r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许可证号：</w:t>
      </w:r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地址：</w:t>
      </w:r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自查日期：</w:t>
      </w:r>
    </w:p>
    <w:tbl>
      <w:tblPr>
        <w:tblStyle w:val="5"/>
        <w:tblW w:w="14210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8"/>
        <w:gridCol w:w="2046"/>
        <w:gridCol w:w="21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2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违法违规类别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自查是否存在违法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违规情形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1.为他人违法经营药品提供场所（出租柜台）。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2.从个人或者无《药品生产许可证》《药品经营许可证》的单位购进药品。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3. 擅自改变经营方式、经营范围销售药品。向无合法资质的单位或者个人销售药品，知道或者应当知道他人从事无证经营仍为其提供药品。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4.伪造药品采购来源，虚构药品销售流向，篡改计算机系统，隐瞒真实药品购销存记录、票据、凭证、数据等，药品购销存记录不完整、不真实，经营行为无法追溯。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5.购进药品时，证（许可证书）、票（发票、随货同行票据）、账（实物账、财务账）、货（药品实物）、款（货款）不能相互对应一致；药品未入库，设立账外账，药品未纳入企业质量体系管理。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6.将第二类精神药品和含特殊药品复方制剂流入非法渠道，或者进行现金交易。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7.企业未按照国家有关规定配备执业药师，执业药师不在职在岗，存在“挂证”行为，未能负责处方审核，指导合理用药。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8.在核准地址以外的场所储存药品。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经营冷藏药品的，未设置与其经营品种及经营规模相适应的专用冷藏设备储存药品。经营阴凉储存要求药品的，未设置相应的阴凉柜储存药品 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11.处方药未按规定凭处方或登记完整信息后销售，处方未存档。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12.存在销售过期失效药品行为。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13.连锁门店未执行“三统一”规定。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14.存在其他违法违规情形。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4210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自查结论（可另附页）</w:t>
            </w: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210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整改措施（可另附页）</w:t>
            </w: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7228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自查人员签名：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300" w:lineRule="exact"/>
              <w:ind w:firstLine="2929" w:firstLineChars="1450"/>
              <w:jc w:val="righ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 xml:space="preserve">  月    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 xml:space="preserve">日  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企业法定代表人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企业负责人签名：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300" w:lineRule="exact"/>
              <w:ind w:firstLine="2424" w:firstLineChars="1200"/>
              <w:jc w:val="righ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 xml:space="preserve">    日（章）  </w:t>
            </w:r>
          </w:p>
        </w:tc>
      </w:tr>
    </w:tbl>
    <w:p>
      <w:pPr>
        <w:spacing w:line="240" w:lineRule="exact"/>
        <w:rPr>
          <w:rFonts w:hint="eastAsia" w:ascii="仿宋" w:hAnsi="仿宋"/>
          <w:color w:val="000000"/>
        </w:rPr>
      </w:pPr>
    </w:p>
    <w:p>
      <w:pPr>
        <w:spacing w:line="590" w:lineRule="exact"/>
        <w:rPr>
          <w:rFonts w:hint="eastAsia" w:ascii="仿宋" w:hAnsi="仿宋"/>
          <w:color w:val="000000"/>
        </w:rPr>
        <w:sectPr>
          <w:footerReference r:id="rId3" w:type="default"/>
          <w:pgSz w:w="16838" w:h="11906" w:orient="landscape"/>
          <w:pgMar w:top="1588" w:right="1588" w:bottom="1588" w:left="1588" w:header="851" w:footer="1247" w:gutter="0"/>
          <w:cols w:space="720" w:num="1"/>
          <w:docGrid w:type="linesAndChars" w:linePitch="592" w:charSpace="-1683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20" w:leftChars="100" w:right="320" w:rightChars="100"/>
      <w:rPr>
        <w:rStyle w:val="4"/>
        <w:rFonts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29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laisk</dc:creator>
  <cp:lastModifiedBy>赖舒坤</cp:lastModifiedBy>
  <dcterms:modified xsi:type="dcterms:W3CDTF">2019-04-17T06:57:31Z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