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44" w:type="dxa"/>
        <w:tblLayout w:type="fixed"/>
        <w:tblLook w:val="04A0" w:firstRow="1" w:lastRow="0" w:firstColumn="1" w:lastColumn="0" w:noHBand="0" w:noVBand="1"/>
      </w:tblPr>
      <w:tblGrid>
        <w:gridCol w:w="791"/>
        <w:gridCol w:w="9"/>
        <w:gridCol w:w="7530"/>
        <w:gridCol w:w="1524"/>
        <w:gridCol w:w="1423"/>
        <w:gridCol w:w="182"/>
        <w:gridCol w:w="477"/>
        <w:gridCol w:w="236"/>
        <w:gridCol w:w="241"/>
        <w:gridCol w:w="281"/>
        <w:gridCol w:w="580"/>
        <w:gridCol w:w="870"/>
      </w:tblGrid>
      <w:tr w:rsidR="00603BB6" w:rsidRPr="0024596A" w:rsidTr="00C41ECC">
        <w:trPr>
          <w:trHeight w:val="825"/>
        </w:trPr>
        <w:tc>
          <w:tcPr>
            <w:tcW w:w="11459" w:type="dxa"/>
            <w:gridSpan w:val="6"/>
            <w:tcBorders>
              <w:top w:val="nil"/>
              <w:left w:val="nil"/>
              <w:bottom w:val="nil"/>
              <w:right w:val="nil"/>
            </w:tcBorders>
            <w:shd w:val="clear" w:color="auto" w:fill="auto"/>
            <w:noWrap/>
            <w:vAlign w:val="center"/>
            <w:hideMark/>
          </w:tcPr>
          <w:p w:rsidR="00603BB6" w:rsidRPr="00603BB6" w:rsidRDefault="00603BB6" w:rsidP="007D5A74">
            <w:pPr>
              <w:rPr>
                <w:rFonts w:eastAsia="黑体"/>
                <w:color w:val="000000" w:themeColor="text1"/>
                <w:kern w:val="0"/>
                <w:sz w:val="32"/>
                <w:szCs w:val="32"/>
              </w:rPr>
            </w:pPr>
            <w:r w:rsidRPr="00603BB6">
              <w:rPr>
                <w:rFonts w:eastAsia="黑体" w:hint="eastAsia"/>
                <w:color w:val="000000" w:themeColor="text1"/>
                <w:sz w:val="32"/>
                <w:szCs w:val="32"/>
              </w:rPr>
              <w:t>附件</w:t>
            </w:r>
            <w:r w:rsidRPr="00603BB6">
              <w:rPr>
                <w:rFonts w:eastAsia="黑体"/>
                <w:color w:val="000000" w:themeColor="text1"/>
                <w:sz w:val="32"/>
                <w:szCs w:val="32"/>
              </w:rPr>
              <w:t>2</w:t>
            </w:r>
          </w:p>
        </w:tc>
        <w:tc>
          <w:tcPr>
            <w:tcW w:w="477" w:type="dxa"/>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477"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861"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870" w:type="dxa"/>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r>
      <w:tr w:rsidR="00603BB6" w:rsidRPr="0024596A" w:rsidTr="00C41ECC">
        <w:trPr>
          <w:trHeight w:val="765"/>
        </w:trPr>
        <w:tc>
          <w:tcPr>
            <w:tcW w:w="14144" w:type="dxa"/>
            <w:gridSpan w:val="12"/>
            <w:tcBorders>
              <w:top w:val="nil"/>
              <w:left w:val="nil"/>
              <w:bottom w:val="nil"/>
              <w:right w:val="nil"/>
            </w:tcBorders>
            <w:shd w:val="clear" w:color="auto" w:fill="auto"/>
            <w:noWrap/>
            <w:vAlign w:val="center"/>
            <w:hideMark/>
          </w:tcPr>
          <w:p w:rsidR="00603BB6" w:rsidRPr="00603BB6" w:rsidRDefault="00603BB6" w:rsidP="007D5A74">
            <w:pPr>
              <w:widowControl/>
              <w:jc w:val="center"/>
              <w:rPr>
                <w:rFonts w:eastAsia="方正小标宋简体"/>
                <w:color w:val="000000" w:themeColor="text1"/>
                <w:kern w:val="0"/>
                <w:sz w:val="48"/>
                <w:szCs w:val="48"/>
              </w:rPr>
            </w:pPr>
            <w:r w:rsidRPr="00603BB6">
              <w:rPr>
                <w:rFonts w:eastAsia="方正小标宋简体"/>
                <w:color w:val="000000" w:themeColor="text1"/>
                <w:kern w:val="0"/>
                <w:sz w:val="48"/>
                <w:szCs w:val="48"/>
              </w:rPr>
              <w:t>2019</w:t>
            </w:r>
            <w:r w:rsidRPr="00603BB6">
              <w:rPr>
                <w:rFonts w:eastAsia="方正小标宋简体" w:hint="eastAsia"/>
                <w:color w:val="000000" w:themeColor="text1"/>
                <w:kern w:val="0"/>
                <w:sz w:val="48"/>
                <w:szCs w:val="48"/>
              </w:rPr>
              <w:t>年无菌和植入性医疗器械经营企业自查要点</w:t>
            </w:r>
          </w:p>
        </w:tc>
      </w:tr>
      <w:tr w:rsidR="00603BB6" w:rsidRPr="0024596A" w:rsidTr="00C41ECC">
        <w:trPr>
          <w:trHeight w:val="375"/>
        </w:trPr>
        <w:tc>
          <w:tcPr>
            <w:tcW w:w="11936" w:type="dxa"/>
            <w:gridSpan w:val="7"/>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企业名称（盖章）：</w:t>
            </w:r>
            <w:r w:rsidRPr="00603BB6">
              <w:rPr>
                <w:rFonts w:eastAsia="仿宋_GB2312"/>
                <w:b/>
                <w:bCs/>
                <w:color w:val="000000" w:themeColor="text1"/>
                <w:kern w:val="0"/>
                <w:sz w:val="28"/>
                <w:szCs w:val="28"/>
              </w:rPr>
              <w:t xml:space="preserve">                                            </w:t>
            </w:r>
          </w:p>
        </w:tc>
        <w:tc>
          <w:tcPr>
            <w:tcW w:w="236" w:type="dxa"/>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522"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450"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C41ECC">
        <w:trPr>
          <w:trHeight w:val="375"/>
        </w:trPr>
        <w:tc>
          <w:tcPr>
            <w:tcW w:w="11277" w:type="dxa"/>
            <w:gridSpan w:val="5"/>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自查人员：</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自查日期：</w:t>
            </w:r>
          </w:p>
        </w:tc>
        <w:tc>
          <w:tcPr>
            <w:tcW w:w="1417" w:type="dxa"/>
            <w:gridSpan w:val="5"/>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450"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C41ECC">
        <w:trPr>
          <w:trHeight w:val="975"/>
        </w:trPr>
        <w:tc>
          <w:tcPr>
            <w:tcW w:w="800" w:type="dxa"/>
            <w:gridSpan w:val="2"/>
            <w:tcBorders>
              <w:top w:val="single" w:sz="4" w:space="0" w:color="auto"/>
              <w:left w:val="single" w:sz="4" w:space="0" w:color="auto"/>
              <w:bottom w:val="nil"/>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序号</w:t>
            </w:r>
          </w:p>
        </w:tc>
        <w:tc>
          <w:tcPr>
            <w:tcW w:w="7530"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是否未经许可经营第三类医疗器械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是否经营未取得医疗器械注册证的第二类、第三类医疗器械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是否提供虚假资料或采取其他欺骗手段取得医疗器械经营许可证</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4</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是否伪造、变造、买卖、出租、出借医疗器械经营许可证</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5</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是否未按规定备案经营第二类医疗器械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6</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是否第二类医疗器械经营备案时提供虚假资料</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7</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是否伪造、变造、买卖、出租、出借医疗器械经营备案凭证</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8</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是否擅自变更经营场所或者库房地址、扩大经营范围或者擅自设立库房</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9</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是否未按规定办理登记事项变更</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10</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是否经营不符合强制性标准或不符合经注册或备案的产品技术要求的医疗器械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11</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是否经营无合格证明文件、过期、失效、淘汰的医疗器械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12</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是否经营说明书、标签不符合规定的医疗器械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13</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是否未按照医疗器械说明书和标签标示要求运输、贮存医疗器械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14</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是否未依照规定建立并执行医疗器械进货查验记录制度</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375"/>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15</w:t>
            </w:r>
          </w:p>
        </w:tc>
        <w:tc>
          <w:tcPr>
            <w:tcW w:w="7530" w:type="dxa"/>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是否从事第二类、第三类医疗器械批发业务以及第三类医疗器械零售业务的经营企业未依照规定建立并执行销售记录制度</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884"/>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16</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是否派出销售人员销售医疗器械，未按要求提供授权书</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1691"/>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1</w:t>
            </w:r>
            <w:r>
              <w:rPr>
                <w:rFonts w:eastAsia="仿宋_GB2312" w:hint="eastAsia"/>
                <w:color w:val="000000" w:themeColor="text1"/>
                <w:kern w:val="0"/>
                <w:sz w:val="28"/>
                <w:szCs w:val="28"/>
              </w:rPr>
              <w:t>7</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603BB6">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经营条件发生变化，不再符合医疗器械经营质量管理规范要求，</w:t>
            </w:r>
            <w:r w:rsidRPr="006E3928">
              <w:rPr>
                <w:rFonts w:eastAsia="仿宋_GB2312" w:hint="eastAsia"/>
                <w:color w:val="000000" w:themeColor="text1"/>
                <w:kern w:val="0"/>
                <w:sz w:val="28"/>
                <w:szCs w:val="28"/>
              </w:rPr>
              <w:t>是否</w:t>
            </w:r>
            <w:r w:rsidRPr="00603BB6">
              <w:rPr>
                <w:rFonts w:eastAsia="仿宋_GB2312" w:hint="eastAsia"/>
                <w:color w:val="000000" w:themeColor="text1"/>
                <w:kern w:val="0"/>
                <w:sz w:val="28"/>
                <w:szCs w:val="28"/>
              </w:rPr>
              <w:t>未按照规定进行整改</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1418"/>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18</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是否从不具有资质的生产、经营企业购进医疗器械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19</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603BB6">
            <w:pPr>
              <w:widowControl/>
              <w:rPr>
                <w:rFonts w:eastAsia="仿宋_GB2312"/>
                <w:color w:val="000000" w:themeColor="text1"/>
                <w:kern w:val="0"/>
                <w:sz w:val="28"/>
                <w:szCs w:val="28"/>
              </w:rPr>
            </w:pPr>
            <w:r>
              <w:rPr>
                <w:rFonts w:eastAsia="仿宋_GB2312" w:hint="eastAsia"/>
                <w:color w:val="000000" w:themeColor="text1"/>
                <w:kern w:val="0"/>
                <w:sz w:val="28"/>
                <w:szCs w:val="28"/>
              </w:rPr>
              <w:t>监管部门责令实施召回或停止经营后，</w:t>
            </w:r>
            <w:r w:rsidRPr="00603BB6">
              <w:rPr>
                <w:rFonts w:eastAsia="仿宋_GB2312" w:hint="eastAsia"/>
                <w:color w:val="000000" w:themeColor="text1"/>
                <w:kern w:val="0"/>
                <w:sz w:val="28"/>
                <w:szCs w:val="28"/>
              </w:rPr>
              <w:t>是否拒不停止经营（召回）医疗器械</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02"/>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47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0</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是否未开展医疗器械不良事件监测</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1689"/>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1</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企业质量负责人</w:t>
            </w:r>
            <w:r w:rsidRPr="00215885">
              <w:rPr>
                <w:rFonts w:eastAsia="仿宋_GB2312" w:hint="eastAsia"/>
                <w:color w:val="000000" w:themeColor="text1"/>
                <w:kern w:val="0"/>
                <w:sz w:val="28"/>
                <w:szCs w:val="28"/>
              </w:rPr>
              <w:t>是否</w:t>
            </w:r>
            <w:r w:rsidRPr="00603BB6">
              <w:rPr>
                <w:rFonts w:eastAsia="仿宋_GB2312" w:hint="eastAsia"/>
                <w:color w:val="000000" w:themeColor="text1"/>
                <w:kern w:val="0"/>
                <w:sz w:val="28"/>
                <w:szCs w:val="28"/>
              </w:rPr>
              <w:t>负责医疗器械质量管理工作，独立履行职责，在企业内部对医疗器械质量管理具有裁决权，承担相应的质量管理责任。</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523"/>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2</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企业质量管理机构或者质量管理人员是否全面履行职责。</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85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3</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企业是否依据《医疗器械经营质量管理规范》建立覆盖医疗器械经营全过程的质量管理制度，并保存相关记录或者档案。</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112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4</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从事第二类、第三类医疗器械批发业务和第三类医疗器械零售业务的企业开展购货者资格审核、医疗器械追踪溯源情况。</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56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5</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第三类医疗器械经营企业是否建立质量管理自查制度，是否于每年年底前向所在地设区的负责医疗器械监督管理的部门提交年度自查报告。</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1125"/>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6</w:t>
            </w:r>
          </w:p>
        </w:tc>
        <w:tc>
          <w:tcPr>
            <w:tcW w:w="7530" w:type="dxa"/>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进货查验记录和销售记录是否保存至医疗器械有效期后</w:t>
            </w:r>
            <w:r w:rsidRPr="00603BB6">
              <w:rPr>
                <w:rFonts w:eastAsia="仿宋_GB2312"/>
                <w:color w:val="000000" w:themeColor="text1"/>
                <w:kern w:val="0"/>
                <w:sz w:val="28"/>
                <w:szCs w:val="28"/>
              </w:rPr>
              <w:t>2</w:t>
            </w:r>
            <w:r w:rsidRPr="00603BB6">
              <w:rPr>
                <w:rFonts w:eastAsia="仿宋_GB2312" w:hint="eastAsia"/>
                <w:color w:val="000000" w:themeColor="text1"/>
                <w:kern w:val="0"/>
                <w:sz w:val="28"/>
                <w:szCs w:val="28"/>
              </w:rPr>
              <w:t>年；无有效期的，不得少于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年。植入类医疗器械进货查验记录和销售记录是否永久保存。</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2</w:t>
            </w:r>
            <w:r>
              <w:rPr>
                <w:rFonts w:eastAsia="仿宋_GB2312" w:hint="eastAsia"/>
                <w:color w:val="000000" w:themeColor="text1"/>
                <w:kern w:val="0"/>
                <w:sz w:val="28"/>
                <w:szCs w:val="28"/>
              </w:rPr>
              <w:t>7</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企业法定代表人（负责人）、质量管理人员是否有相关法律法规禁止从业的情形。</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28</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企业是否具有与经营范围和经营规模相适应、独立的经营场所和库房，经营场所和库房的面积是否满足经营要求。</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262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29</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库房的选址、设计、布局、建造、改造和维护是否符合医疗器械贮存的要求，能防止医疗器械的混淆、差错或被污损，并具有符合医疗器械产品特性要求的贮存设施、设备。</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0</w:t>
            </w:r>
          </w:p>
        </w:tc>
        <w:tc>
          <w:tcPr>
            <w:tcW w:w="7530" w:type="dxa"/>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对有特殊温湿度贮存要求的医疗器械，是否配备有效调控及监测温湿度的设备或者仪器。</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75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1</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经营第三类医疗器械的企业，是否具有符合医疗器械经营质量管理要求的计算机信息管理系统，保证经营的产品可追溯。</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1125"/>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2</w:t>
            </w:r>
          </w:p>
        </w:tc>
        <w:tc>
          <w:tcPr>
            <w:tcW w:w="7530" w:type="dxa"/>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企业为其他医疗器械生产经营企业提供贮存、配送服务，是否符合以下要求：</w:t>
            </w:r>
            <w:r w:rsidRPr="00603BB6">
              <w:rPr>
                <w:rFonts w:eastAsia="仿宋_GB2312"/>
                <w:color w:val="000000" w:themeColor="text1"/>
                <w:kern w:val="0"/>
                <w:sz w:val="28"/>
                <w:szCs w:val="28"/>
              </w:rPr>
              <w:br/>
            </w:r>
            <w:r w:rsidRPr="00603BB6">
              <w:rPr>
                <w:rFonts w:eastAsia="仿宋_GB2312" w:hint="eastAsia"/>
                <w:color w:val="000000" w:themeColor="text1"/>
                <w:kern w:val="0"/>
                <w:sz w:val="28"/>
                <w:szCs w:val="28"/>
              </w:rPr>
              <w:t>（一）具备从事现代物流储运业务的条件；</w:t>
            </w:r>
            <w:r w:rsidRPr="00603BB6">
              <w:rPr>
                <w:rFonts w:eastAsia="仿宋_GB2312"/>
                <w:color w:val="000000" w:themeColor="text1"/>
                <w:kern w:val="0"/>
                <w:sz w:val="28"/>
                <w:szCs w:val="28"/>
              </w:rPr>
              <w:br/>
            </w:r>
            <w:r w:rsidRPr="00603BB6">
              <w:rPr>
                <w:rFonts w:eastAsia="仿宋_GB2312" w:hint="eastAsia"/>
                <w:color w:val="000000" w:themeColor="text1"/>
                <w:kern w:val="0"/>
                <w:sz w:val="28"/>
                <w:szCs w:val="28"/>
              </w:rPr>
              <w:t>（二）具有与委托方实施实时电子数据交换和实现产品经营全过程可追溯、可追踪管理的计算机信息平台和技术手段；</w:t>
            </w:r>
            <w:r w:rsidRPr="00603BB6">
              <w:rPr>
                <w:rFonts w:eastAsia="仿宋_GB2312"/>
                <w:color w:val="000000" w:themeColor="text1"/>
                <w:kern w:val="0"/>
                <w:sz w:val="28"/>
                <w:szCs w:val="28"/>
              </w:rPr>
              <w:br/>
            </w:r>
            <w:r w:rsidRPr="00603BB6">
              <w:rPr>
                <w:rFonts w:eastAsia="仿宋_GB2312" w:hint="eastAsia"/>
                <w:color w:val="000000" w:themeColor="text1"/>
                <w:kern w:val="0"/>
                <w:sz w:val="28"/>
                <w:szCs w:val="28"/>
              </w:rPr>
              <w:t>（三）具有接受食品药品监督管理部门电子监管的数据接口；</w:t>
            </w:r>
            <w:r w:rsidRPr="00603BB6">
              <w:rPr>
                <w:rFonts w:eastAsia="仿宋_GB2312"/>
                <w:color w:val="000000" w:themeColor="text1"/>
                <w:kern w:val="0"/>
                <w:sz w:val="28"/>
                <w:szCs w:val="28"/>
              </w:rPr>
              <w:br/>
            </w:r>
            <w:r w:rsidRPr="00603BB6">
              <w:rPr>
                <w:rFonts w:eastAsia="仿宋_GB2312" w:hint="eastAsia"/>
                <w:color w:val="000000" w:themeColor="text1"/>
                <w:kern w:val="0"/>
                <w:sz w:val="28"/>
                <w:szCs w:val="28"/>
              </w:rPr>
              <w:t>（四）食品药品监督管理部门的其他有关要求。</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986"/>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0"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75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3</w:t>
            </w:r>
          </w:p>
        </w:tc>
        <w:tc>
          <w:tcPr>
            <w:tcW w:w="7530" w:type="dxa"/>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企业在采购前是否审核供货者的合法资格、所购入医疗器械的合法性并获取加盖供货者公章的相关证明文件或复印件。</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C41ECC">
        <w:trPr>
          <w:trHeight w:val="270"/>
        </w:trPr>
        <w:tc>
          <w:tcPr>
            <w:tcW w:w="8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color w:val="000000" w:themeColor="text1"/>
                <w:kern w:val="0"/>
                <w:sz w:val="22"/>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4</w:t>
            </w:r>
          </w:p>
        </w:tc>
        <w:tc>
          <w:tcPr>
            <w:tcW w:w="7530"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企业采购记录是否列明医疗器械的名称、规格（型号）、注册证号或备案凭证号、单位、数量、单价、金额、供货者、购货日期等。</w:t>
            </w:r>
          </w:p>
        </w:tc>
        <w:tc>
          <w:tcPr>
            <w:tcW w:w="1524"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603BB6">
            <w:pPr>
              <w:widowControl/>
              <w:jc w:val="center"/>
              <w:rPr>
                <w:rFonts w:eastAsia="仿宋_GB2312"/>
                <w:b/>
                <w:bCs/>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5</w:t>
            </w:r>
          </w:p>
        </w:tc>
        <w:tc>
          <w:tcPr>
            <w:tcW w:w="7539" w:type="dxa"/>
            <w:gridSpan w:val="2"/>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验收人员是否对医疗器械的外观、包装、标签以及合格证明文件等进行检查、核对，并做好验收记录。</w:t>
            </w:r>
          </w:p>
        </w:tc>
        <w:tc>
          <w:tcPr>
            <w:tcW w:w="1524"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23"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 xml:space="preserve">　</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C41ECC">
        <w:trPr>
          <w:trHeight w:val="375"/>
        </w:trPr>
        <w:tc>
          <w:tcPr>
            <w:tcW w:w="791" w:type="dxa"/>
            <w:tcBorders>
              <w:top w:val="nil"/>
              <w:left w:val="single" w:sz="4" w:space="0" w:color="auto"/>
              <w:bottom w:val="single" w:sz="4" w:space="0" w:color="auto"/>
              <w:right w:val="single" w:sz="4" w:space="0" w:color="auto"/>
            </w:tcBorders>
            <w:shd w:val="clear" w:color="auto" w:fill="auto"/>
            <w:noWrap/>
            <w:vAlign w:val="center"/>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6</w:t>
            </w:r>
          </w:p>
        </w:tc>
        <w:tc>
          <w:tcPr>
            <w:tcW w:w="7539" w:type="dxa"/>
            <w:gridSpan w:val="2"/>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从事医疗器械批发业务的企业，是否将医疗器械批发销售给合法的购货者，销售前应当对购货者的证明文件、经营范围进行核实，建立购货者档案，保证医疗器械销售流向真实、合法。</w:t>
            </w:r>
          </w:p>
        </w:tc>
        <w:tc>
          <w:tcPr>
            <w:tcW w:w="1524"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23"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17" w:type="dxa"/>
            <w:gridSpan w:val="5"/>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c>
          <w:tcPr>
            <w:tcW w:w="1450" w:type="dxa"/>
            <w:gridSpan w:val="2"/>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C41ECC">
        <w:trPr>
          <w:trHeight w:val="37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539"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524"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423" w:type="dxa"/>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C41ECC">
        <w:trPr>
          <w:trHeight w:val="375"/>
        </w:trPr>
        <w:tc>
          <w:tcPr>
            <w:tcW w:w="791" w:type="dxa"/>
            <w:tcBorders>
              <w:top w:val="nil"/>
              <w:left w:val="single" w:sz="4" w:space="0" w:color="auto"/>
              <w:bottom w:val="single" w:sz="4" w:space="0" w:color="auto"/>
              <w:right w:val="single" w:sz="4" w:space="0" w:color="auto"/>
            </w:tcBorders>
            <w:shd w:val="clear" w:color="auto" w:fill="auto"/>
            <w:noWrap/>
            <w:vAlign w:val="center"/>
          </w:tcPr>
          <w:p w:rsidR="00603BB6" w:rsidRPr="00603BB6" w:rsidRDefault="00603BB6" w:rsidP="00603BB6">
            <w:pPr>
              <w:widowControl/>
              <w:jc w:val="center"/>
              <w:rPr>
                <w:rFonts w:eastAsia="仿宋_GB2312"/>
                <w:color w:val="000000" w:themeColor="text1"/>
                <w:kern w:val="0"/>
                <w:sz w:val="28"/>
                <w:szCs w:val="28"/>
              </w:rPr>
            </w:pPr>
            <w:r w:rsidRPr="00603BB6">
              <w:rPr>
                <w:rFonts w:eastAsia="仿宋_GB2312"/>
                <w:color w:val="000000" w:themeColor="text1"/>
                <w:kern w:val="0"/>
                <w:sz w:val="28"/>
                <w:szCs w:val="28"/>
              </w:rPr>
              <w:t>3</w:t>
            </w:r>
            <w:r>
              <w:rPr>
                <w:rFonts w:eastAsia="仿宋_GB2312" w:hint="eastAsia"/>
                <w:color w:val="000000" w:themeColor="text1"/>
                <w:kern w:val="0"/>
                <w:sz w:val="28"/>
                <w:szCs w:val="28"/>
              </w:rPr>
              <w:t>7</w:t>
            </w:r>
          </w:p>
        </w:tc>
        <w:tc>
          <w:tcPr>
            <w:tcW w:w="7539" w:type="dxa"/>
            <w:gridSpan w:val="2"/>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从事第二、第三类医疗器械批发以及第三类医疗器械零售业务的企业建立的销售记录是否包括以下内容：（一）医疗器械的名称、规格（型号）、注册证号或者备案凭证编号、数量、单价、金额；（二）医疗器械的生产批号或序列号、有效期、销售日期；（三）生产企业和生产企业许可证号（或者备案凭证编号）。</w:t>
            </w:r>
          </w:p>
        </w:tc>
        <w:tc>
          <w:tcPr>
            <w:tcW w:w="1524"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23"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17" w:type="dxa"/>
            <w:gridSpan w:val="5"/>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c>
          <w:tcPr>
            <w:tcW w:w="1450" w:type="dxa"/>
            <w:gridSpan w:val="2"/>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8E4B53">
        <w:trPr>
          <w:trHeight w:val="1561"/>
        </w:trPr>
        <w:tc>
          <w:tcPr>
            <w:tcW w:w="791" w:type="dxa"/>
            <w:tcBorders>
              <w:top w:val="nil"/>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color w:val="000000" w:themeColor="text1"/>
                <w:kern w:val="0"/>
                <w:sz w:val="28"/>
                <w:szCs w:val="28"/>
              </w:rPr>
            </w:pPr>
            <w:r>
              <w:rPr>
                <w:rFonts w:eastAsia="仿宋_GB2312" w:hint="eastAsia"/>
                <w:color w:val="000000" w:themeColor="text1"/>
                <w:kern w:val="0"/>
                <w:sz w:val="28"/>
                <w:szCs w:val="28"/>
              </w:rPr>
              <w:t>38</w:t>
            </w:r>
          </w:p>
        </w:tc>
        <w:tc>
          <w:tcPr>
            <w:tcW w:w="7539" w:type="dxa"/>
            <w:gridSpan w:val="2"/>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r w:rsidRPr="00603BB6">
              <w:rPr>
                <w:rFonts w:eastAsia="仿宋_GB2312" w:hint="eastAsia"/>
                <w:color w:val="000000" w:themeColor="text1"/>
                <w:kern w:val="0"/>
                <w:sz w:val="28"/>
                <w:szCs w:val="28"/>
              </w:rPr>
              <w:t>从事医疗器械批发业务的企业，销售记录是否包括购货者的名称、经营许可证号（或者备案凭证编号）、经营地址、联系方式。</w:t>
            </w:r>
          </w:p>
        </w:tc>
        <w:tc>
          <w:tcPr>
            <w:tcW w:w="1524"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23" w:type="dxa"/>
            <w:tcBorders>
              <w:top w:val="nil"/>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color w:val="000000" w:themeColor="text1"/>
                <w:kern w:val="0"/>
                <w:sz w:val="28"/>
                <w:szCs w:val="28"/>
              </w:rPr>
            </w:pPr>
          </w:p>
        </w:tc>
        <w:tc>
          <w:tcPr>
            <w:tcW w:w="1417" w:type="dxa"/>
            <w:gridSpan w:val="5"/>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c>
          <w:tcPr>
            <w:tcW w:w="1450" w:type="dxa"/>
            <w:gridSpan w:val="2"/>
            <w:tcBorders>
              <w:top w:val="nil"/>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C41ECC">
        <w:trPr>
          <w:trHeight w:val="375"/>
        </w:trPr>
        <w:tc>
          <w:tcPr>
            <w:tcW w:w="1127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hint="eastAsia"/>
                <w:b/>
                <w:bCs/>
                <w:color w:val="000000" w:themeColor="text1"/>
                <w:kern w:val="0"/>
                <w:sz w:val="28"/>
                <w:szCs w:val="28"/>
              </w:rPr>
            </w:pPr>
          </w:p>
        </w:tc>
        <w:tc>
          <w:tcPr>
            <w:tcW w:w="141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450"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C41ECC">
        <w:trPr>
          <w:trHeight w:val="375"/>
        </w:trPr>
        <w:tc>
          <w:tcPr>
            <w:tcW w:w="1127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质量负责人签名：</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1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450"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C41ECC">
        <w:trPr>
          <w:trHeight w:val="375"/>
        </w:trPr>
        <w:tc>
          <w:tcPr>
            <w:tcW w:w="1127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企业法定代表人或企业负责人签名：</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17" w:type="dxa"/>
            <w:gridSpan w:val="5"/>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450"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bl>
    <w:p w:rsidR="008A6B51" w:rsidRPr="00603BB6" w:rsidRDefault="008A6B51" w:rsidP="008E4B53">
      <w:pPr>
        <w:spacing w:line="20" w:lineRule="exact"/>
        <w:rPr>
          <w:color w:val="000000" w:themeColor="text1"/>
        </w:rPr>
      </w:pPr>
      <w:bookmarkStart w:id="0" w:name="_GoBack"/>
      <w:bookmarkEnd w:id="0"/>
    </w:p>
    <w:sectPr w:rsidR="008A6B51" w:rsidRPr="00603BB6" w:rsidSect="00F074CF">
      <w:footerReference w:type="default" r:id="rId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A0" w:rsidRDefault="00117AA0" w:rsidP="0024596A">
      <w:r>
        <w:separator/>
      </w:r>
    </w:p>
  </w:endnote>
  <w:endnote w:type="continuationSeparator" w:id="0">
    <w:p w:rsidR="00117AA0" w:rsidRDefault="00117AA0" w:rsidP="0024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69025"/>
      <w:docPartObj>
        <w:docPartGallery w:val="Page Numbers (Bottom of Page)"/>
        <w:docPartUnique/>
      </w:docPartObj>
    </w:sdtPr>
    <w:sdtEndPr/>
    <w:sdtContent>
      <w:p w:rsidR="0024596A" w:rsidRDefault="0024596A">
        <w:pPr>
          <w:pStyle w:val="a6"/>
          <w:jc w:val="center"/>
        </w:pPr>
        <w:r>
          <w:fldChar w:fldCharType="begin"/>
        </w:r>
        <w:r>
          <w:instrText>PAGE   \* MERGEFORMAT</w:instrText>
        </w:r>
        <w:r>
          <w:fldChar w:fldCharType="separate"/>
        </w:r>
        <w:r w:rsidR="008E4B53" w:rsidRPr="008E4B53">
          <w:rPr>
            <w:noProof/>
            <w:lang w:val="zh-CN"/>
          </w:rPr>
          <w:t>7</w:t>
        </w:r>
        <w:r>
          <w:fldChar w:fldCharType="end"/>
        </w:r>
      </w:p>
    </w:sdtContent>
  </w:sdt>
  <w:p w:rsidR="0024596A" w:rsidRDefault="00245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A0" w:rsidRDefault="00117AA0" w:rsidP="0024596A">
      <w:r>
        <w:separator/>
      </w:r>
    </w:p>
  </w:footnote>
  <w:footnote w:type="continuationSeparator" w:id="0">
    <w:p w:rsidR="00117AA0" w:rsidRDefault="00117AA0" w:rsidP="0024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D2"/>
    <w:rsid w:val="001144B5"/>
    <w:rsid w:val="00117AA0"/>
    <w:rsid w:val="0024596A"/>
    <w:rsid w:val="00247E13"/>
    <w:rsid w:val="002559E4"/>
    <w:rsid w:val="003A5C6D"/>
    <w:rsid w:val="005240A0"/>
    <w:rsid w:val="005479F7"/>
    <w:rsid w:val="00603BB6"/>
    <w:rsid w:val="008A6B51"/>
    <w:rsid w:val="008E4B53"/>
    <w:rsid w:val="00A44754"/>
    <w:rsid w:val="00B61781"/>
    <w:rsid w:val="00BA35D2"/>
    <w:rsid w:val="00C41ECC"/>
    <w:rsid w:val="00C43EC2"/>
    <w:rsid w:val="00D8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300EF-FA99-4E25-AA58-F397E181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5D2"/>
    <w:rPr>
      <w:sz w:val="18"/>
      <w:szCs w:val="18"/>
    </w:rPr>
  </w:style>
  <w:style w:type="character" w:customStyle="1" w:styleId="Char">
    <w:name w:val="批注框文本 Char"/>
    <w:basedOn w:val="a0"/>
    <w:link w:val="a3"/>
    <w:uiPriority w:val="99"/>
    <w:semiHidden/>
    <w:rsid w:val="00BA35D2"/>
    <w:rPr>
      <w:rFonts w:ascii="Times New Roman" w:eastAsia="宋体" w:hAnsi="Times New Roman" w:cs="Times New Roman"/>
      <w:sz w:val="18"/>
      <w:szCs w:val="18"/>
    </w:rPr>
  </w:style>
  <w:style w:type="paragraph" w:styleId="a4">
    <w:name w:val="Normal (Web)"/>
    <w:basedOn w:val="a"/>
    <w:uiPriority w:val="99"/>
    <w:unhideWhenUsed/>
    <w:rsid w:val="00BA35D2"/>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A35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35D2"/>
    <w:rPr>
      <w:rFonts w:ascii="Times New Roman" w:eastAsia="宋体" w:hAnsi="Times New Roman" w:cs="Times New Roman"/>
      <w:sz w:val="18"/>
      <w:szCs w:val="18"/>
    </w:rPr>
  </w:style>
  <w:style w:type="paragraph" w:styleId="a6">
    <w:name w:val="footer"/>
    <w:basedOn w:val="a"/>
    <w:link w:val="Char1"/>
    <w:uiPriority w:val="99"/>
    <w:unhideWhenUsed/>
    <w:rsid w:val="00BA35D2"/>
    <w:pPr>
      <w:tabs>
        <w:tab w:val="center" w:pos="4153"/>
        <w:tab w:val="right" w:pos="8306"/>
      </w:tabs>
      <w:snapToGrid w:val="0"/>
      <w:jc w:val="left"/>
    </w:pPr>
    <w:rPr>
      <w:sz w:val="18"/>
      <w:szCs w:val="18"/>
    </w:rPr>
  </w:style>
  <w:style w:type="character" w:customStyle="1" w:styleId="Char1">
    <w:name w:val="页脚 Char"/>
    <w:basedOn w:val="a0"/>
    <w:link w:val="a6"/>
    <w:uiPriority w:val="99"/>
    <w:rsid w:val="00BA35D2"/>
    <w:rPr>
      <w:rFonts w:ascii="Times New Roman" w:eastAsia="宋体" w:hAnsi="Times New Roman" w:cs="Times New Roman"/>
      <w:sz w:val="18"/>
      <w:szCs w:val="18"/>
    </w:rPr>
  </w:style>
  <w:style w:type="character" w:styleId="a7">
    <w:name w:val="Subtle Emphasis"/>
    <w:uiPriority w:val="19"/>
    <w:qFormat/>
    <w:rsid w:val="00BA35D2"/>
    <w:rPr>
      <w:i/>
      <w:iCs/>
      <w:color w:val="548DD4"/>
    </w:rPr>
  </w:style>
  <w:style w:type="character" w:customStyle="1" w:styleId="a8">
    <w:name w:val="讨论疑问"/>
    <w:uiPriority w:val="1"/>
    <w:qFormat/>
    <w:rsid w:val="00BA35D2"/>
    <w:rPr>
      <w:i/>
      <w:iCs/>
      <w:color w:val="1F497D"/>
      <w:u w:val="doub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397</Words>
  <Characters>2267</Characters>
  <Application>Microsoft Office Word</Application>
  <DocSecurity>0</DocSecurity>
  <Lines>18</Lines>
  <Paragraphs>5</Paragraphs>
  <ScaleCrop>false</ScaleCrop>
  <Company>CFDA</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杨志强</dc:creator>
  <cp:lastModifiedBy>wxl</cp:lastModifiedBy>
  <cp:revision>5</cp:revision>
  <cp:lastPrinted>2019-03-21T03:39:00Z</cp:lastPrinted>
  <dcterms:created xsi:type="dcterms:W3CDTF">2019-03-27T06:50:00Z</dcterms:created>
  <dcterms:modified xsi:type="dcterms:W3CDTF">2019-03-27T09:32:00Z</dcterms:modified>
</cp:coreProperties>
</file>