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napToGrid w:val="0"/>
        <w:spacing w:line="54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主讲嘉宾个人简介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贾振勇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专利律师，专利代理人，副研究员。北京大学知识产权法专业，在华为等单位专利行业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21年擅长从商业角度指导企业的知识产权保护，管理和运营，专注于如何让知识产权转化为经济效益。</w:t>
      </w:r>
      <w:r>
        <w:rPr>
          <w:rFonts w:hint="eastAsia" w:ascii="仿宋" w:hAnsi="仿宋" w:eastAsia="仿宋"/>
          <w:sz w:val="32"/>
          <w:szCs w:val="32"/>
        </w:rPr>
        <w:t>累计为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金蝶、海洋王、大族激光、唯冠、日海通讯、航天科工、普联、九洲电器、科达机电、豪恩电子等数百家企业提供了百余场知识产权运营管理方面的培训，担任多家企业的知识产权顾问。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善于从全视角分析企业知识产权运营，把握企业知识产权运营的根本驱动力，将知识产权运营作为企业的战略性营运手段，从意识、人才、机制、环境等方面全方位提升企业的知识产权运营能力。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授课特点：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其独有的数学+法学双背景搭建课程体系和架构，授课思路严谨，逻辑严密，脉络清晰，强调实用，杜绝华而不实。擅长结合当下商业实际，透析典型知识产权商业化运营案例，利用浅显的语言娓娓道来，积极启发学员深入思考，并引导学员发现问题并提出解决方案。课程内容翔实、授课形式多样，深入浅出，针对性和实效性俱佳。</w:t>
      </w:r>
    </w:p>
    <w:p>
      <w:pPr>
        <w:snapToGrid w:val="0"/>
        <w:spacing w:line="540" w:lineRule="exact"/>
        <w:ind w:left="640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381"/>
    <w:rsid w:val="00187A79"/>
    <w:rsid w:val="001F5272"/>
    <w:rsid w:val="005A0037"/>
    <w:rsid w:val="005A7381"/>
    <w:rsid w:val="00824443"/>
    <w:rsid w:val="00890AA3"/>
    <w:rsid w:val="00C34087"/>
    <w:rsid w:val="628B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298</Characters>
  <Lines>2</Lines>
  <Paragraphs>1</Paragraphs>
  <TotalTime>9</TotalTime>
  <ScaleCrop>false</ScaleCrop>
  <LinksUpToDate>false</LinksUpToDate>
  <CharactersWithSpaces>349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2017-03-06T06:45:00Z</dcterms:created>
  <dc:creator>岳衡</dc:creator>
  <cp:lastModifiedBy>ccc</cp:lastModifiedBy>
  <dcterms:modified xsi:type="dcterms:W3CDTF">2019-06-13T08:19:44Z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