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pacing w:val="10"/>
          <w:sz w:val="32"/>
          <w:szCs w:val="32"/>
        </w:rPr>
      </w:pPr>
      <w:r>
        <w:rPr>
          <w:rFonts w:hint="eastAsia" w:ascii="黑体" w:hAnsi="黑体" w:eastAsia="黑体" w:cs="黑体"/>
          <w:spacing w:val="10"/>
          <w:sz w:val="32"/>
          <w:szCs w:val="32"/>
        </w:rPr>
        <w:t>附件1</w:t>
      </w:r>
    </w:p>
    <w:p>
      <w:pPr>
        <w:spacing w:line="560" w:lineRule="exact"/>
        <w:jc w:val="center"/>
        <w:rPr>
          <w:rFonts w:hint="eastAsia" w:ascii="华文中宋" w:hAnsi="华文中宋" w:eastAsia="华文中宋" w:cs="黑体"/>
          <w:b/>
          <w:bCs/>
          <w:spacing w:val="10"/>
          <w:sz w:val="44"/>
          <w:szCs w:val="44"/>
        </w:rPr>
      </w:pPr>
    </w:p>
    <w:p>
      <w:pPr>
        <w:spacing w:line="560" w:lineRule="exact"/>
        <w:jc w:val="center"/>
        <w:rPr>
          <w:rFonts w:ascii="华文中宋" w:hAnsi="华文中宋" w:eastAsia="华文中宋" w:cs="黑体"/>
          <w:b/>
          <w:bCs/>
          <w:spacing w:val="10"/>
          <w:sz w:val="44"/>
          <w:szCs w:val="44"/>
        </w:rPr>
      </w:pPr>
      <w:r>
        <w:rPr>
          <w:rFonts w:hint="eastAsia" w:ascii="华文中宋" w:hAnsi="华文中宋" w:eastAsia="华文中宋" w:cs="黑体"/>
          <w:b/>
          <w:bCs/>
          <w:spacing w:val="10"/>
          <w:sz w:val="44"/>
          <w:szCs w:val="44"/>
        </w:rPr>
        <w:t>深圳市知识产权运营基金管理办法</w:t>
      </w:r>
    </w:p>
    <w:p>
      <w:pPr>
        <w:spacing w:line="560" w:lineRule="exact"/>
        <w:jc w:val="center"/>
        <w:rPr>
          <w:rFonts w:ascii="华文中宋" w:hAnsi="华文中宋" w:eastAsia="华文中宋" w:cs="黑体"/>
          <w:b/>
          <w:bCs/>
          <w:sz w:val="44"/>
          <w:szCs w:val="44"/>
        </w:rPr>
      </w:pPr>
      <w:r>
        <w:rPr>
          <w:rFonts w:hint="eastAsia" w:ascii="华文中宋" w:hAnsi="华文中宋" w:eastAsia="华文中宋" w:cs="黑体"/>
          <w:b/>
          <w:bCs/>
          <w:spacing w:val="10"/>
          <w:sz w:val="44"/>
          <w:szCs w:val="44"/>
        </w:rPr>
        <w:t>（试行）</w:t>
      </w:r>
    </w:p>
    <w:p>
      <w:pPr>
        <w:jc w:val="center"/>
        <w:rPr>
          <w:rFonts w:ascii="楷体_GB2312" w:hAnsi="宋体" w:eastAsia="楷体_GB2312"/>
          <w:spacing w:val="10"/>
          <w:sz w:val="32"/>
          <w:szCs w:val="32"/>
        </w:rPr>
      </w:pPr>
      <w:r>
        <w:rPr>
          <w:rFonts w:hint="eastAsia" w:ascii="楷体_GB2312" w:hAnsi="宋体" w:eastAsia="楷体_GB2312"/>
          <w:spacing w:val="10"/>
          <w:sz w:val="32"/>
          <w:szCs w:val="32"/>
        </w:rPr>
        <w:t>（</w:t>
      </w:r>
      <w:r>
        <w:rPr>
          <w:rFonts w:hint="eastAsia" w:ascii="楷体_GB2312" w:hAnsi="宋体" w:eastAsia="楷体_GB2312"/>
          <w:spacing w:val="10"/>
          <w:sz w:val="32"/>
          <w:szCs w:val="32"/>
          <w:lang w:eastAsia="zh-CN"/>
        </w:rPr>
        <w:t>征求意见稿</w:t>
      </w:r>
      <w:r>
        <w:rPr>
          <w:rFonts w:hint="eastAsia" w:ascii="楷体_GB2312" w:hAnsi="宋体" w:eastAsia="楷体_GB2312"/>
          <w:spacing w:val="10"/>
          <w:sz w:val="32"/>
          <w:szCs w:val="32"/>
        </w:rPr>
        <w:t>）</w:t>
      </w:r>
    </w:p>
    <w:p>
      <w:pPr>
        <w:ind w:firstLine="612" w:firstLineChars="180"/>
        <w:rPr>
          <w:rFonts w:ascii="仿宋_GB2312" w:hAnsi="宋体" w:eastAsia="仿宋_GB2312"/>
          <w:spacing w:val="10"/>
          <w:sz w:val="32"/>
          <w:szCs w:val="32"/>
        </w:rPr>
      </w:pPr>
      <w:r>
        <w:rPr>
          <w:rFonts w:hint="eastAsia" w:ascii="仿宋_GB2312" w:hAnsi="宋体" w:eastAsia="仿宋_GB2312"/>
          <w:spacing w:val="10"/>
          <w:sz w:val="32"/>
          <w:szCs w:val="32"/>
        </w:rPr>
        <w:t xml:space="preserve"> </w:t>
      </w:r>
    </w:p>
    <w:p>
      <w:pPr>
        <w:spacing w:line="580" w:lineRule="exact"/>
        <w:ind w:firstLine="612" w:firstLineChars="180"/>
        <w:rPr>
          <w:rFonts w:ascii="仿宋_GB2312" w:hAnsi="宋体" w:eastAsia="仿宋_GB2312"/>
          <w:spacing w:val="10"/>
          <w:sz w:val="32"/>
          <w:szCs w:val="32"/>
        </w:rPr>
      </w:pPr>
      <w:r>
        <w:rPr>
          <w:rFonts w:hint="eastAsia" w:ascii="仿宋_GB2312" w:hAnsi="宋体" w:eastAsia="仿宋_GB2312"/>
          <w:spacing w:val="10"/>
          <w:sz w:val="32"/>
          <w:szCs w:val="32"/>
        </w:rPr>
        <w:t>为发挥财政资金的杠杆作用，加快我市知识产权运营服务体系建设，着力构建知识产权运营与金融服务生态体系，助力产业转型升级与经济社会创新发展，根据《关于2018年继续利用服务业发展专项资金开展知识产权运营服务体系建设工作的通知》（财办建〔2018〕96号）、《深圳市人民政府办公厅关于印发深圳市知识产权运营服务体系建设实施方案（2018-2020年）的通知》（深府办函〔2018〕277号）、《深圳市财政委员会关于下达2018年中央服务业发展专项资金（第一批）预算的通知》（深财行〔2018〕31号）等文件精神，结合深圳实际情况,设立“深圳市知识产权运营基金”。</w:t>
      </w:r>
    </w:p>
    <w:p>
      <w:pPr>
        <w:spacing w:line="580" w:lineRule="exact"/>
        <w:ind w:firstLine="540"/>
        <w:rPr>
          <w:rFonts w:ascii="黑体" w:hAnsi="黑体" w:eastAsia="黑体"/>
          <w:spacing w:val="10"/>
          <w:sz w:val="32"/>
          <w:szCs w:val="32"/>
        </w:rPr>
      </w:pPr>
      <w:r>
        <w:rPr>
          <w:rFonts w:hint="eastAsia" w:ascii="黑体" w:hAnsi="黑体" w:eastAsia="黑体"/>
          <w:spacing w:val="10"/>
          <w:sz w:val="32"/>
          <w:szCs w:val="32"/>
        </w:rPr>
        <w:t>一、基金设立方式</w:t>
      </w:r>
    </w:p>
    <w:p>
      <w:pPr>
        <w:spacing w:line="580" w:lineRule="exact"/>
        <w:ind w:firstLine="540"/>
        <w:rPr>
          <w:rFonts w:ascii="仿宋_GB2312" w:hAnsi="仿宋" w:eastAsia="仿宋_GB2312"/>
          <w:spacing w:val="10"/>
          <w:sz w:val="32"/>
          <w:szCs w:val="32"/>
        </w:rPr>
      </w:pPr>
      <w:r>
        <w:rPr>
          <w:rFonts w:hint="eastAsia" w:ascii="仿宋_GB2312" w:hAnsi="仿宋" w:eastAsia="仿宋_GB2312"/>
          <w:spacing w:val="10"/>
          <w:sz w:val="32"/>
          <w:szCs w:val="32"/>
        </w:rPr>
        <w:t>深圳市知识产权运营基金由政府、社会资本、基金管理人共同参与，以信托契约形式设立。深圳市市场监督管理局代表政府作为资金委托方并行使监督管理职责，确定资金的使用方向；受托管理机构为基金管理人，向社会公开遴选产生，负责基金的日常运作，保障资金的有效使用。原则上基金管理人须是在深圳注册的国有控股且由证监会批准开展特定客户资产管理计划的持牌金融机构的基金管理公司或资产管理公司。</w:t>
      </w:r>
    </w:p>
    <w:p>
      <w:pPr>
        <w:spacing w:line="580" w:lineRule="exact"/>
        <w:ind w:firstLine="540"/>
        <w:rPr>
          <w:rFonts w:ascii="黑体" w:hAnsi="黑体" w:eastAsia="黑体"/>
          <w:spacing w:val="10"/>
          <w:sz w:val="32"/>
          <w:szCs w:val="32"/>
        </w:rPr>
      </w:pPr>
      <w:r>
        <w:rPr>
          <w:rFonts w:hint="eastAsia" w:ascii="黑体" w:hAnsi="黑体" w:eastAsia="黑体"/>
          <w:spacing w:val="10"/>
          <w:sz w:val="32"/>
          <w:szCs w:val="32"/>
        </w:rPr>
        <w:t>二、基金规模</w:t>
      </w:r>
    </w:p>
    <w:p>
      <w:pPr>
        <w:spacing w:line="580" w:lineRule="exact"/>
        <w:rPr>
          <w:rFonts w:ascii="仿宋_GB2312" w:hAnsi="宋体" w:eastAsia="仿宋_GB2312"/>
          <w:spacing w:val="10"/>
          <w:kern w:val="0"/>
          <w:sz w:val="32"/>
          <w:szCs w:val="32"/>
        </w:rPr>
      </w:pPr>
      <w:r>
        <w:rPr>
          <w:rFonts w:hint="eastAsia" w:ascii="仿宋_GB2312" w:hAnsi="宋体" w:eastAsia="仿宋_GB2312"/>
          <w:spacing w:val="10"/>
          <w:kern w:val="0"/>
          <w:sz w:val="32"/>
          <w:szCs w:val="32"/>
        </w:rPr>
        <w:t xml:space="preserve">   深圳市知识产权运营基金的首期规模:以深圳市市场监督管理局受托管理的中央服务业专项引导资金</w:t>
      </w:r>
      <w:r>
        <w:rPr>
          <w:rFonts w:ascii="仿宋_GB2312" w:hAnsi="宋体" w:eastAsia="仿宋_GB2312"/>
          <w:spacing w:val="10"/>
          <w:kern w:val="0"/>
          <w:sz w:val="32"/>
          <w:szCs w:val="32"/>
        </w:rPr>
        <w:t>7000</w:t>
      </w:r>
      <w:r>
        <w:rPr>
          <w:rFonts w:hint="eastAsia" w:ascii="仿宋_GB2312" w:hAnsi="宋体" w:eastAsia="仿宋_GB2312"/>
          <w:spacing w:val="10"/>
          <w:kern w:val="0"/>
          <w:sz w:val="32"/>
          <w:szCs w:val="32"/>
        </w:rPr>
        <w:t>万元为委托资金的基础，定向吸引社会资金的投入和参与，争取首期基金规模达</w:t>
      </w:r>
      <w:r>
        <w:rPr>
          <w:rFonts w:ascii="仿宋_GB2312" w:hAnsi="宋体" w:eastAsia="仿宋_GB2312"/>
          <w:spacing w:val="10"/>
          <w:kern w:val="0"/>
          <w:sz w:val="32"/>
          <w:szCs w:val="32"/>
        </w:rPr>
        <w:t>2</w:t>
      </w:r>
      <w:r>
        <w:rPr>
          <w:rFonts w:hint="eastAsia" w:ascii="仿宋_GB2312" w:hAnsi="宋体" w:eastAsia="仿宋_GB2312"/>
          <w:spacing w:val="10"/>
          <w:kern w:val="0"/>
          <w:sz w:val="32"/>
          <w:szCs w:val="32"/>
        </w:rPr>
        <w:t>.1亿元。根据试行的实际成效，后期将逐步增加基金的规模。</w:t>
      </w:r>
    </w:p>
    <w:p>
      <w:pPr>
        <w:spacing w:line="580" w:lineRule="exact"/>
        <w:ind w:firstLine="540"/>
        <w:rPr>
          <w:rFonts w:ascii="黑体" w:hAnsi="黑体" w:eastAsia="黑体"/>
          <w:spacing w:val="10"/>
          <w:sz w:val="32"/>
          <w:szCs w:val="32"/>
        </w:rPr>
      </w:pPr>
      <w:r>
        <w:rPr>
          <w:rFonts w:hint="eastAsia" w:ascii="黑体" w:hAnsi="黑体" w:eastAsia="黑体"/>
          <w:spacing w:val="10"/>
          <w:sz w:val="32"/>
          <w:szCs w:val="32"/>
        </w:rPr>
        <w:t>三、基金管理人</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基金设置基金管理人，基金管理人负责基金日常运营管理工作。</w:t>
      </w:r>
    </w:p>
    <w:p>
      <w:pPr>
        <w:spacing w:line="580" w:lineRule="exact"/>
        <w:ind w:firstLine="540"/>
        <w:rPr>
          <w:rFonts w:ascii="仿宋_GB2312" w:hAnsi="宋体" w:eastAsia="仿宋_GB2312"/>
          <w:spacing w:val="10"/>
          <w:sz w:val="32"/>
          <w:szCs w:val="32"/>
        </w:rPr>
      </w:pPr>
      <w:r>
        <w:rPr>
          <w:rFonts w:hint="eastAsia" w:ascii="仿宋_GB2312" w:hAnsi="宋体" w:eastAsia="仿宋_GB2312"/>
          <w:spacing w:val="10"/>
          <w:sz w:val="32"/>
          <w:szCs w:val="32"/>
        </w:rPr>
        <w:t>深圳市市场监督管理局制定深圳市知识产权运营基金管理人遴选方案，向社会公开遴选基金管理人</w:t>
      </w:r>
      <w:bookmarkStart w:id="0" w:name="_Hlk14159764"/>
      <w:r>
        <w:rPr>
          <w:rFonts w:hint="eastAsia" w:ascii="仿宋_GB2312" w:hAnsi="宋体" w:eastAsia="仿宋_GB2312"/>
          <w:spacing w:val="10"/>
          <w:sz w:val="32"/>
          <w:szCs w:val="32"/>
        </w:rPr>
        <w:t>。</w:t>
      </w:r>
      <w:bookmarkEnd w:id="0"/>
      <w:r>
        <w:rPr>
          <w:rFonts w:hint="eastAsia" w:ascii="仿宋_GB2312" w:hAnsi="宋体" w:eastAsia="仿宋_GB2312"/>
          <w:spacing w:val="10"/>
          <w:sz w:val="32"/>
          <w:szCs w:val="32"/>
        </w:rPr>
        <w:t>深圳市市场监督管理局组织专家对基金管理人的申报方案进行评审，拟定基金管理人人选，报市政府审定后产生。</w:t>
      </w:r>
    </w:p>
    <w:p>
      <w:pPr>
        <w:spacing w:line="580" w:lineRule="exact"/>
        <w:ind w:firstLine="540"/>
        <w:rPr>
          <w:rFonts w:ascii="黑体" w:hAnsi="黑体" w:eastAsia="黑体"/>
          <w:spacing w:val="10"/>
          <w:sz w:val="32"/>
          <w:szCs w:val="32"/>
        </w:rPr>
      </w:pPr>
      <w:r>
        <w:rPr>
          <w:rFonts w:hint="eastAsia" w:ascii="黑体" w:hAnsi="黑体" w:eastAsia="黑体"/>
          <w:spacing w:val="10"/>
          <w:sz w:val="32"/>
          <w:szCs w:val="32"/>
        </w:rPr>
        <w:t>四、职责分工</w:t>
      </w:r>
    </w:p>
    <w:p>
      <w:pPr>
        <w:spacing w:line="580" w:lineRule="exact"/>
        <w:ind w:firstLine="540"/>
        <w:rPr>
          <w:rFonts w:ascii="楷体_GB2312" w:hAnsi="宋体" w:eastAsia="楷体_GB2312"/>
          <w:b/>
          <w:bCs/>
          <w:spacing w:val="10"/>
          <w:sz w:val="32"/>
          <w:szCs w:val="32"/>
        </w:rPr>
      </w:pPr>
      <w:r>
        <w:rPr>
          <w:rFonts w:hint="eastAsia" w:ascii="仿宋_GB2312" w:hAnsi="宋体" w:eastAsia="仿宋_GB2312"/>
          <w:spacing w:val="10"/>
          <w:sz w:val="32"/>
          <w:szCs w:val="32"/>
        </w:rPr>
        <w:t>深圳市市场监督管理局作为资金委托方，履行政府财政预算执行主体责任，确保资金安全。负责基金管理人公开遴选及资金的委托投资，定期对基金的政策目标、政策效果，管理情况及资产情况等进行考核评价。对基金进行业务监管和考核，重点监督基金投资方向，一般不参与基金日常管理事务，但对基金启动、项目投资、收益分配、基金退出以及明显违反法律法规的项目投资等重大事项具有一票否决权，配合市财政局做好基金绩效评价等工作。</w:t>
      </w:r>
    </w:p>
    <w:p>
      <w:pPr>
        <w:spacing w:line="580" w:lineRule="exact"/>
        <w:ind w:firstLine="680" w:firstLineChars="200"/>
        <w:rPr>
          <w:rFonts w:ascii="仿宋_GB2312" w:hAnsi="宋体" w:eastAsia="仿宋_GB2312"/>
          <w:spacing w:val="10"/>
          <w:sz w:val="32"/>
          <w:szCs w:val="32"/>
        </w:rPr>
      </w:pPr>
      <w:r>
        <w:rPr>
          <w:rFonts w:hint="eastAsia" w:ascii="仿宋_GB2312" w:hAnsi="宋体" w:eastAsia="仿宋_GB2312"/>
          <w:spacing w:val="10"/>
          <w:sz w:val="32"/>
          <w:szCs w:val="32"/>
        </w:rPr>
        <w:t>基金管理人为深圳市知识产权运营基金的运营管理单位，负责制定</w:t>
      </w:r>
      <w:bookmarkStart w:id="1" w:name="_Hlk14161072"/>
      <w:r>
        <w:rPr>
          <w:rFonts w:hint="eastAsia" w:ascii="仿宋_GB2312" w:hAnsi="宋体" w:eastAsia="仿宋_GB2312"/>
          <w:spacing w:val="10"/>
          <w:sz w:val="32"/>
          <w:szCs w:val="32"/>
        </w:rPr>
        <w:t>《深圳市知识产权运营基金实施方案》</w:t>
      </w:r>
      <w:bookmarkEnd w:id="1"/>
      <w:r>
        <w:rPr>
          <w:rFonts w:hint="eastAsia" w:ascii="仿宋_GB2312" w:hAnsi="宋体" w:eastAsia="仿宋_GB2312"/>
          <w:spacing w:val="10"/>
          <w:sz w:val="32"/>
          <w:szCs w:val="32"/>
        </w:rPr>
        <w:t>，报深圳市市场监督管理局审定。基金管理人负责政府投资基金的具体运作与管理，落实政府投资基金的政策目标，做好风险防范，接受市政府相关部门的监督管理和考核评价；对基金的运营情况进行统计分析和评价，定期向市财政局、市市场监督管理局报送基金的运营情况及进展情况；基金启动、项目投资、收益分配、基金退出等重大事项应及时向市市场监管局报告；按相关规定及法律文件规定的程序确定基金托管银行并开立基金专用账户。</w:t>
      </w:r>
    </w:p>
    <w:p>
      <w:pPr>
        <w:spacing w:line="580" w:lineRule="exact"/>
        <w:rPr>
          <w:rFonts w:ascii="黑体" w:hAnsi="黑体" w:eastAsia="黑体"/>
          <w:spacing w:val="10"/>
          <w:sz w:val="32"/>
          <w:szCs w:val="32"/>
        </w:rPr>
      </w:pPr>
      <w:r>
        <w:rPr>
          <w:rFonts w:hint="eastAsia" w:ascii="黑体" w:hAnsi="黑体" w:eastAsia="黑体"/>
          <w:spacing w:val="10"/>
          <w:sz w:val="32"/>
          <w:szCs w:val="32"/>
        </w:rPr>
        <w:t xml:space="preserve">   五、基金运作模式</w:t>
      </w:r>
    </w:p>
    <w:p>
      <w:pPr>
        <w:spacing w:line="580" w:lineRule="exact"/>
        <w:ind w:firstLine="540"/>
        <w:rPr>
          <w:rFonts w:ascii="楷体_GB2312" w:hAnsi="楷体" w:eastAsia="楷体_GB2312"/>
          <w:b/>
          <w:bCs/>
          <w:spacing w:val="10"/>
          <w:sz w:val="32"/>
          <w:szCs w:val="32"/>
        </w:rPr>
      </w:pPr>
      <w:r>
        <w:rPr>
          <w:rFonts w:hint="eastAsia" w:ascii="楷体_GB2312" w:hAnsi="楷体" w:eastAsia="楷体_GB2312"/>
          <w:b/>
          <w:bCs/>
          <w:spacing w:val="10"/>
          <w:sz w:val="32"/>
          <w:szCs w:val="32"/>
        </w:rPr>
        <w:t>（一）基金存续期限和退出清算</w:t>
      </w:r>
    </w:p>
    <w:p>
      <w:pPr>
        <w:spacing w:line="580" w:lineRule="exact"/>
        <w:ind w:right="25" w:rightChars="12" w:firstLine="612" w:firstLineChars="180"/>
        <w:rPr>
          <w:rFonts w:ascii="仿宋_GB2312" w:hAnsi="宋体" w:eastAsia="仿宋_GB2312"/>
          <w:spacing w:val="10"/>
          <w:sz w:val="32"/>
          <w:szCs w:val="32"/>
        </w:rPr>
      </w:pPr>
      <w:r>
        <w:rPr>
          <w:rFonts w:hint="eastAsia" w:ascii="仿宋_GB2312" w:hAnsi="宋体" w:eastAsia="仿宋_GB2312"/>
          <w:spacing w:val="10"/>
          <w:sz w:val="32"/>
          <w:szCs w:val="32"/>
        </w:rPr>
        <w:t>深圳市市场监督管理局与基金管理人签订协议，对委托资金进行管理。同时要求基金管理人对委托资金按照1：2配资，吸引社会资金投入，完成资金募集。委托管理期限与及基金存续期限一致，原则上为</w:t>
      </w:r>
      <w:r>
        <w:rPr>
          <w:rFonts w:ascii="仿宋_GB2312" w:hAnsi="宋体" w:eastAsia="仿宋_GB2312"/>
          <w:spacing w:val="10"/>
          <w:sz w:val="32"/>
          <w:szCs w:val="32"/>
        </w:rPr>
        <w:t>10</w:t>
      </w:r>
      <w:r>
        <w:rPr>
          <w:rFonts w:hint="eastAsia" w:ascii="仿宋_GB2312" w:hAnsi="宋体" w:eastAsia="仿宋_GB2312"/>
          <w:spacing w:val="10"/>
          <w:sz w:val="32"/>
          <w:szCs w:val="32"/>
        </w:rPr>
        <w:t>年，如基金运行良好，可在存续期满前一年，经深圳市市场监督管理局审议通过后，延续基金存续期。每次延续不超过10年，延续次数不超过2次。当基金到期并决定不再续期时，将由深圳市市场监督管理局负责组织基金清算组，对基金财产进行清算和分配。</w:t>
      </w:r>
    </w:p>
    <w:p>
      <w:pPr>
        <w:spacing w:line="580" w:lineRule="exact"/>
        <w:ind w:firstLine="540"/>
        <w:rPr>
          <w:rFonts w:ascii="楷体_GB2312" w:hAnsi="楷体" w:eastAsia="楷体_GB2312"/>
          <w:b/>
          <w:bCs/>
          <w:spacing w:val="10"/>
          <w:sz w:val="32"/>
          <w:szCs w:val="32"/>
        </w:rPr>
      </w:pPr>
      <w:r>
        <w:rPr>
          <w:rFonts w:hint="eastAsia" w:ascii="楷体_GB2312" w:hAnsi="楷体" w:eastAsia="楷体_GB2312"/>
          <w:b/>
          <w:bCs/>
          <w:spacing w:val="10"/>
          <w:sz w:val="32"/>
          <w:szCs w:val="32"/>
        </w:rPr>
        <w:t>（二）</w:t>
      </w:r>
      <w:r>
        <w:rPr>
          <w:rFonts w:hint="eastAsia" w:ascii="楷体_GB2312" w:hAnsi="楷体" w:eastAsia="楷体_GB2312"/>
          <w:b/>
          <w:bCs/>
          <w:spacing w:val="10"/>
          <w:kern w:val="0"/>
          <w:sz w:val="32"/>
          <w:szCs w:val="32"/>
        </w:rPr>
        <w:t>基金</w:t>
      </w:r>
      <w:r>
        <w:rPr>
          <w:rFonts w:hint="eastAsia" w:ascii="楷体_GB2312" w:hAnsi="楷体" w:eastAsia="楷体_GB2312"/>
          <w:b/>
          <w:bCs/>
          <w:spacing w:val="10"/>
          <w:sz w:val="32"/>
          <w:szCs w:val="32"/>
        </w:rPr>
        <w:t>投资对象</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深圳市知识产权运营基金根据我市产业发展实际情况，重点投向新一代信息技术、高端装备制造、绿色低碳、生物医药、数字经济、新材料、海洋经济等知识产权密集型产业。重点支持产业转型升级，探索产业知识产权运营和专利技术成果转化的商业模式。</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深圳市知识产权运营基金应按照</w:t>
      </w:r>
      <w:r>
        <w:rPr>
          <w:rFonts w:hint="eastAsia" w:ascii="仿宋_GB2312" w:hAnsi="仿宋_GB2312" w:eastAsia="仿宋_GB2312" w:cs="仿宋_GB2312"/>
          <w:sz w:val="32"/>
          <w:szCs w:val="32"/>
        </w:rPr>
        <w:t>党中央、国务院《关于支持深圳建设中国特色社会主义先行示范区的意见》的要求，推动知识产权证券化工作，发行证券化产品。</w:t>
      </w:r>
    </w:p>
    <w:p>
      <w:pPr>
        <w:spacing w:line="580" w:lineRule="exact"/>
        <w:ind w:firstLine="341" w:firstLineChars="100"/>
        <w:rPr>
          <w:rFonts w:ascii="楷体_GB2312" w:hAnsi="楷体" w:eastAsia="楷体_GB2312"/>
          <w:b/>
          <w:bCs/>
          <w:spacing w:val="10"/>
          <w:sz w:val="32"/>
          <w:szCs w:val="32"/>
        </w:rPr>
      </w:pPr>
      <w:r>
        <w:rPr>
          <w:rFonts w:hint="eastAsia" w:ascii="楷体_GB2312" w:hAnsi="楷体" w:eastAsia="楷体_GB2312"/>
          <w:b/>
          <w:bCs/>
          <w:spacing w:val="10"/>
          <w:sz w:val="32"/>
          <w:szCs w:val="32"/>
        </w:rPr>
        <w:t>（三）管理费用以及收益处分</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基金管理费：基金管理人按运营基金的实际募集到位规模，每年按2%收取管理费用。上述费用</w:t>
      </w:r>
      <w:r>
        <w:rPr>
          <w:rFonts w:hint="eastAsia" w:ascii="仿宋_GB2312" w:hAnsi="宋体" w:eastAsia="仿宋_GB2312"/>
          <w:spacing w:val="10"/>
          <w:kern w:val="0"/>
          <w:sz w:val="32"/>
          <w:szCs w:val="32"/>
          <w:lang w:eastAsia="zh-CN"/>
        </w:rPr>
        <w:t>从</w:t>
      </w:r>
      <w:r>
        <w:rPr>
          <w:rFonts w:hint="eastAsia" w:ascii="仿宋_GB2312" w:hAnsi="宋体" w:eastAsia="仿宋_GB2312"/>
          <w:spacing w:val="10"/>
          <w:kern w:val="0"/>
          <w:sz w:val="32"/>
          <w:szCs w:val="32"/>
        </w:rPr>
        <w:t>基金资产</w:t>
      </w:r>
      <w:r>
        <w:rPr>
          <w:rFonts w:hint="eastAsia" w:ascii="仿宋_GB2312" w:hAnsi="宋体" w:eastAsia="仿宋_GB2312"/>
          <w:spacing w:val="10"/>
          <w:kern w:val="0"/>
          <w:sz w:val="32"/>
          <w:szCs w:val="32"/>
          <w:lang w:eastAsia="zh-CN"/>
        </w:rPr>
        <w:t>中计提。</w:t>
      </w:r>
      <w:r>
        <w:rPr>
          <w:rFonts w:hint="eastAsia" w:ascii="仿宋_GB2312" w:hAnsi="宋体" w:eastAsia="仿宋_GB2312"/>
          <w:spacing w:val="10"/>
          <w:kern w:val="0"/>
          <w:sz w:val="32"/>
          <w:szCs w:val="32"/>
        </w:rPr>
        <w:t>市财政不承担基金运作期间任何费用。</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基金收益分配：在基金年化收益率超过约定基准收益率时，可对基金管理机构进行超额收益奖励。超额投资收益由基金全部投资者和基金管理人按8:2的比例进行分配，即：80%归基金全部投资者所有，20%归基金管理人。</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具体基准收益率及收益分配细则将根据委托协议进一步约定。</w:t>
      </w:r>
    </w:p>
    <w:p>
      <w:pPr>
        <w:spacing w:line="580" w:lineRule="exact"/>
        <w:ind w:firstLine="683" w:firstLineChars="200"/>
        <w:rPr>
          <w:rFonts w:ascii="楷体_GB2312" w:hAnsi="楷体" w:eastAsia="楷体_GB2312"/>
          <w:b/>
          <w:bCs/>
          <w:spacing w:val="10"/>
          <w:kern w:val="0"/>
          <w:sz w:val="32"/>
          <w:szCs w:val="32"/>
        </w:rPr>
      </w:pPr>
      <w:r>
        <w:rPr>
          <w:rFonts w:hint="eastAsia" w:ascii="楷体_GB2312" w:hAnsi="楷体" w:eastAsia="楷体_GB2312"/>
          <w:b/>
          <w:bCs/>
          <w:spacing w:val="10"/>
          <w:kern w:val="0"/>
          <w:sz w:val="32"/>
          <w:szCs w:val="32"/>
        </w:rPr>
        <w:t>（四）基金启动</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基金管理人以及基金合作机构确定后，深圳市市场监督管理局以及各方应签署相关协议。根据协议确定的时间正式启动基金运营。</w:t>
      </w:r>
    </w:p>
    <w:p>
      <w:pPr>
        <w:spacing w:line="580" w:lineRule="exact"/>
        <w:ind w:firstLine="683" w:firstLineChars="200"/>
        <w:rPr>
          <w:rFonts w:ascii="楷体_GB2312" w:hAnsi="楷体" w:eastAsia="楷体_GB2312"/>
          <w:b/>
          <w:bCs/>
          <w:spacing w:val="10"/>
          <w:kern w:val="0"/>
          <w:sz w:val="32"/>
          <w:szCs w:val="32"/>
        </w:rPr>
      </w:pPr>
      <w:r>
        <w:rPr>
          <w:rFonts w:hint="eastAsia" w:ascii="楷体_GB2312" w:hAnsi="楷体" w:eastAsia="楷体_GB2312"/>
          <w:b/>
          <w:bCs/>
          <w:spacing w:val="10"/>
          <w:kern w:val="0"/>
          <w:sz w:val="32"/>
          <w:szCs w:val="32"/>
        </w:rPr>
        <w:t>（五）基金投资项目的退出</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深圳市知识产权运营基金投资项目的退出方式主要包括：项目上市退出、并购退出、转让退出、原股东回购退出。在退出程序上，由基金管理人提出退出方案，并提交深圳市市场监督管理局审议，审议通过后由基金管理人具体执行。</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投资项目的退出资金，统一集中到基金托管银行专用账户，在基金存续期限内滚动使用。</w:t>
      </w:r>
    </w:p>
    <w:p>
      <w:pPr>
        <w:spacing w:line="580" w:lineRule="exact"/>
        <w:ind w:right="25" w:rightChars="12" w:firstLine="612" w:firstLineChars="180"/>
        <w:rPr>
          <w:rFonts w:ascii="黑体" w:hAnsi="黑体" w:eastAsia="黑体"/>
          <w:spacing w:val="10"/>
          <w:kern w:val="0"/>
          <w:sz w:val="32"/>
          <w:szCs w:val="32"/>
        </w:rPr>
      </w:pPr>
      <w:r>
        <w:rPr>
          <w:rFonts w:hint="eastAsia" w:ascii="黑体" w:hAnsi="黑体" w:eastAsia="黑体"/>
          <w:spacing w:val="10"/>
          <w:kern w:val="0"/>
          <w:sz w:val="32"/>
          <w:szCs w:val="32"/>
        </w:rPr>
        <w:t>六、基金风险控制及监督管理</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（一）</w:t>
      </w:r>
      <w:r>
        <w:rPr>
          <w:rFonts w:hint="eastAsia" w:ascii="仿宋_GB2312" w:hAnsi="宋体" w:eastAsia="仿宋_GB2312"/>
          <w:spacing w:val="10"/>
          <w:kern w:val="0"/>
          <w:sz w:val="32"/>
          <w:szCs w:val="32"/>
          <w:lang w:eastAsia="zh-CN"/>
        </w:rPr>
        <w:t>由</w:t>
      </w:r>
      <w:r>
        <w:rPr>
          <w:rFonts w:hint="eastAsia" w:ascii="仿宋_GB2312" w:hAnsi="宋体" w:eastAsia="仿宋_GB2312"/>
          <w:spacing w:val="10"/>
          <w:kern w:val="0"/>
          <w:sz w:val="32"/>
          <w:szCs w:val="32"/>
        </w:rPr>
        <w:t>信用良好的商业银行</w:t>
      </w:r>
      <w:r>
        <w:rPr>
          <w:rFonts w:hint="eastAsia" w:ascii="仿宋_GB2312" w:hAnsi="宋体" w:eastAsia="仿宋_GB2312"/>
          <w:spacing w:val="10"/>
          <w:kern w:val="0"/>
          <w:sz w:val="32"/>
          <w:szCs w:val="32"/>
          <w:lang w:eastAsia="zh-CN"/>
        </w:rPr>
        <w:t>受深圳市知识产权运营基金委托</w:t>
      </w:r>
      <w:r>
        <w:rPr>
          <w:rFonts w:hint="eastAsia" w:ascii="仿宋_GB2312" w:hAnsi="宋体" w:eastAsia="仿宋_GB2312"/>
          <w:spacing w:val="10"/>
          <w:kern w:val="0"/>
          <w:sz w:val="32"/>
          <w:szCs w:val="32"/>
        </w:rPr>
        <w:t>开设专用账户进行资金托管，负责基金资金的拨付、清算和日常监管，确保资金安全。</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（二）基金管理人向投资的企业、机构委派董事或者监事；向投资的知识产权项目委派具体执行人和观察员，跟踪企业和项目的经营和财务状况，防范财务风险。</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（三）知识产权运营基金不得从事以下业务：</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1.从事对外担保、委托贷款、房地产（包括购买自用房地产）等业务;</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2.投资于股票、期货、企业债券、信托产品、非保本理财产品、保险计划及其他金融衍生品;</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3.进行承担无限连带责任的对外投资;</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4.向任何第三方提供资金拆借、赞助、捐赠等;</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5.其他法律、法规禁止从事的业务。</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（四）基金管理人应定期向深圳市市场监督管理局报送基金投资情况报告，每年年底定期提交年度审计报告。深圳市市场监督管理局人委托会计师事务所对基金使用情况进行审计，也可委托审计部门进行审计。</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（五）有下列情况之一的，深圳市市场监督管理局可无需其他投资人同意，选择退出委托资金：</w:t>
      </w:r>
    </w:p>
    <w:p>
      <w:pPr>
        <w:spacing w:line="580" w:lineRule="exact"/>
        <w:ind w:firstLine="510" w:firstLineChars="150"/>
        <w:rPr>
          <w:rFonts w:ascii="仿宋_GB2312" w:hAnsi="宋体" w:eastAsia="仿宋_GB2312"/>
          <w:spacing w:val="10"/>
          <w:kern w:val="0"/>
          <w:sz w:val="32"/>
          <w:szCs w:val="32"/>
        </w:rPr>
      </w:pPr>
      <w:r>
        <w:rPr>
          <w:rFonts w:hint="eastAsia" w:ascii="仿宋_GB2312" w:hAnsi="宋体" w:eastAsia="仿宋_GB2312"/>
          <w:spacing w:val="10"/>
          <w:kern w:val="0"/>
          <w:sz w:val="32"/>
          <w:szCs w:val="32"/>
        </w:rPr>
        <w:t>1.</w:t>
      </w:r>
      <w:r>
        <w:rPr>
          <w:rFonts w:hint="eastAsia" w:ascii="仿宋_GB2312" w:hAnsi="Tahoma" w:eastAsia="仿宋_GB2312" w:cs="Tahoma"/>
          <w:color w:val="000000"/>
          <w:kern w:val="0"/>
          <w:sz w:val="28"/>
          <w:szCs w:val="28"/>
        </w:rPr>
        <w:t xml:space="preserve"> </w:t>
      </w:r>
      <w:r>
        <w:rPr>
          <w:rFonts w:hint="eastAsia" w:ascii="仿宋_GB2312" w:hAnsi="宋体" w:eastAsia="仿宋_GB2312"/>
          <w:spacing w:val="10"/>
          <w:kern w:val="0"/>
          <w:sz w:val="32"/>
          <w:szCs w:val="32"/>
        </w:rPr>
        <w:t>自深圳市市场监督管理局批复后超过6个月，运营基金未按规定程序和时间要求完成相关工作并正式设立的;</w:t>
      </w:r>
    </w:p>
    <w:p>
      <w:pPr>
        <w:spacing w:line="580" w:lineRule="exact"/>
        <w:ind w:firstLine="510" w:firstLineChars="150"/>
        <w:rPr>
          <w:rFonts w:hint="eastAsia" w:ascii="仿宋_GB2312" w:hAnsi="宋体" w:eastAsia="仿宋_GB2312"/>
          <w:spacing w:val="10"/>
          <w:kern w:val="0"/>
          <w:sz w:val="32"/>
          <w:szCs w:val="32"/>
        </w:rPr>
      </w:pPr>
      <w:r>
        <w:rPr>
          <w:rFonts w:ascii="仿宋_GB2312" w:hAnsi="宋体" w:eastAsia="仿宋_GB2312"/>
          <w:spacing w:val="10"/>
          <w:kern w:val="0"/>
          <w:sz w:val="32"/>
          <w:szCs w:val="32"/>
        </w:rPr>
        <w:t>2</w:t>
      </w:r>
      <w:r>
        <w:rPr>
          <w:rFonts w:hint="eastAsia" w:ascii="仿宋_GB2312" w:hAnsi="宋体" w:eastAsia="仿宋_GB2312"/>
          <w:spacing w:val="10"/>
          <w:kern w:val="0"/>
          <w:sz w:val="32"/>
          <w:szCs w:val="32"/>
        </w:rPr>
        <w:t>.</w:t>
      </w:r>
      <w:r>
        <w:rPr>
          <w:rFonts w:hint="eastAsia" w:ascii="仿宋_GB2312" w:hAnsi="Tahoma" w:eastAsia="仿宋_GB2312" w:cs="Tahoma"/>
          <w:color w:val="000000"/>
          <w:kern w:val="0"/>
          <w:sz w:val="28"/>
          <w:szCs w:val="28"/>
        </w:rPr>
        <w:t xml:space="preserve"> </w:t>
      </w:r>
      <w:r>
        <w:rPr>
          <w:rFonts w:hint="eastAsia" w:ascii="仿宋_GB2312" w:hAnsi="宋体" w:eastAsia="仿宋_GB2312"/>
          <w:spacing w:val="10"/>
          <w:kern w:val="0"/>
          <w:sz w:val="32"/>
          <w:szCs w:val="32"/>
        </w:rPr>
        <w:t>运营基金首次出资后9个月以上，基金未开展业务的;</w:t>
      </w:r>
    </w:p>
    <w:p>
      <w:pPr>
        <w:spacing w:line="580" w:lineRule="exact"/>
        <w:ind w:firstLine="510" w:firstLineChars="150"/>
        <w:rPr>
          <w:rFonts w:hint="eastAsia" w:ascii="仿宋_GB2312" w:hAnsi="宋体" w:eastAsia="仿宋_GB2312"/>
          <w:spacing w:val="10"/>
          <w:kern w:val="0"/>
          <w:sz w:val="32"/>
          <w:szCs w:val="32"/>
          <w:lang w:val="en-US" w:eastAsia="zh-CN"/>
        </w:rPr>
      </w:pPr>
      <w:r>
        <w:rPr>
          <w:rFonts w:hint="eastAsia" w:ascii="仿宋_GB2312" w:hAnsi="宋体" w:eastAsia="仿宋_GB2312"/>
          <w:spacing w:val="10"/>
          <w:kern w:val="0"/>
          <w:sz w:val="32"/>
          <w:szCs w:val="32"/>
          <w:lang w:val="en-US" w:eastAsia="zh-CN"/>
        </w:rPr>
        <w:t>3.运营基金存在较大亏损，影响委托资金安全的。</w:t>
      </w:r>
    </w:p>
    <w:p>
      <w:pPr>
        <w:spacing w:line="580" w:lineRule="exact"/>
        <w:ind w:firstLine="510" w:firstLineChars="150"/>
      </w:pPr>
      <w:r>
        <w:rPr>
          <w:rFonts w:hint="eastAsia" w:ascii="仿宋_GB2312" w:hAnsi="宋体" w:eastAsia="仿宋_GB2312"/>
          <w:spacing w:val="10"/>
          <w:kern w:val="0"/>
          <w:sz w:val="32"/>
          <w:szCs w:val="32"/>
        </w:rPr>
        <w:t>（六）深圳市知识产权运营基金实行专款专用，禁止任何部门和单位截留、挪用，若存在上述情况，深圳市市场监督管理局将立即终止合作，并依法追究上述单位责任。深圳市市场监督管理局每年向市财政局通报一次当年基金运作情况。</w:t>
      </w:r>
    </w:p>
    <w:p>
      <w:pPr>
        <w:jc w:val="left"/>
        <w:rPr>
          <w:rFonts w:ascii="仿宋_GB2312" w:hAnsi="宋体" w:eastAsia="仿宋_GB2312"/>
          <w:spacing w:val="10"/>
          <w:kern w:val="0"/>
          <w:sz w:val="32"/>
          <w:szCs w:val="32"/>
        </w:rPr>
      </w:pPr>
      <w:r>
        <w:rPr>
          <w:rFonts w:hint="eastAsia" w:ascii="仿宋_GB2312" w:hAnsi="宋体" w:eastAsia="仿宋_GB2312"/>
          <w:spacing w:val="10"/>
          <w:kern w:val="0"/>
          <w:sz w:val="32"/>
          <w:szCs w:val="32"/>
        </w:rPr>
        <w:t xml:space="preserve"> </w:t>
      </w:r>
      <w:r>
        <w:rPr>
          <w:rFonts w:hint="eastAsia" w:ascii="仿宋_GB2312" w:hAnsi="宋体" w:eastAsia="仿宋_GB2312"/>
          <w:spacing w:val="10"/>
          <w:kern w:val="0"/>
          <w:sz w:val="32"/>
          <w:szCs w:val="32"/>
          <w:lang w:val="en-US" w:eastAsia="zh-CN"/>
        </w:rPr>
        <w:t xml:space="preserve">   </w:t>
      </w:r>
      <w:r>
        <w:rPr>
          <w:rFonts w:hint="eastAsia" w:ascii="黑体" w:hAnsi="黑体" w:eastAsia="黑体"/>
          <w:spacing w:val="10"/>
          <w:kern w:val="0"/>
          <w:sz w:val="32"/>
          <w:szCs w:val="32"/>
        </w:rPr>
        <w:t>七、附则</w:t>
      </w:r>
    </w:p>
    <w:p>
      <w:pPr>
        <w:jc w:val="left"/>
        <w:rPr>
          <w:rFonts w:ascii="仿宋_GB2312" w:hAnsi="宋体" w:eastAsia="仿宋_GB2312"/>
          <w:spacing w:val="10"/>
          <w:kern w:val="0"/>
          <w:sz w:val="32"/>
          <w:szCs w:val="32"/>
        </w:rPr>
      </w:pPr>
      <w:r>
        <w:rPr>
          <w:rFonts w:hint="eastAsia" w:ascii="仿宋_GB2312" w:hAnsi="宋体" w:eastAsia="仿宋_GB2312"/>
          <w:spacing w:val="10"/>
          <w:kern w:val="0"/>
          <w:sz w:val="32"/>
          <w:szCs w:val="32"/>
        </w:rPr>
        <w:t xml:space="preserve">  </w:t>
      </w:r>
      <w:r>
        <w:rPr>
          <w:rFonts w:hint="eastAsia" w:ascii="仿宋_GB2312" w:hAnsi="宋体" w:eastAsia="仿宋_GB2312"/>
          <w:spacing w:val="10"/>
          <w:kern w:val="0"/>
          <w:sz w:val="32"/>
          <w:szCs w:val="32"/>
          <w:lang w:val="en-US" w:eastAsia="zh-CN"/>
        </w:rPr>
        <w:t xml:space="preserve"> </w:t>
      </w:r>
      <w:r>
        <w:rPr>
          <w:rFonts w:hint="eastAsia" w:ascii="仿宋_GB2312" w:hAnsi="宋体" w:eastAsia="仿宋_GB2312"/>
          <w:spacing w:val="10"/>
          <w:kern w:val="0"/>
          <w:sz w:val="32"/>
          <w:szCs w:val="32"/>
        </w:rPr>
        <w:t xml:space="preserve"> （一）本办法自2019年9月 日起施行，有效期二年</w:t>
      </w:r>
      <w:r>
        <w:rPr>
          <w:rFonts w:hint="eastAsia" w:ascii="仿宋_GB2312" w:hAnsi="宋体" w:eastAsia="仿宋_GB2312"/>
          <w:spacing w:val="10"/>
          <w:kern w:val="0"/>
          <w:sz w:val="32"/>
          <w:szCs w:val="32"/>
          <w:lang w:eastAsia="zh-CN"/>
        </w:rPr>
        <w:t>，期满后另行发布</w:t>
      </w:r>
      <w:r>
        <w:rPr>
          <w:rFonts w:hint="eastAsia" w:ascii="仿宋_GB2312" w:hAnsi="宋体" w:eastAsia="仿宋_GB2312"/>
          <w:spacing w:val="10"/>
          <w:kern w:val="0"/>
          <w:sz w:val="32"/>
          <w:szCs w:val="32"/>
        </w:rPr>
        <w:t>。</w:t>
      </w:r>
    </w:p>
    <w:p>
      <w:pPr>
        <w:ind w:firstLine="680" w:firstLineChars="200"/>
        <w:jc w:val="left"/>
        <w:rPr>
          <w:rFonts w:hint="eastAsia" w:ascii="仿宋_GB2312" w:hAnsi="宋体" w:eastAsia="仿宋_GB2312"/>
          <w:spacing w:val="10"/>
          <w:kern w:val="0"/>
          <w:sz w:val="32"/>
          <w:szCs w:val="32"/>
        </w:rPr>
      </w:pPr>
      <w:r>
        <w:rPr>
          <w:rFonts w:hint="eastAsia" w:ascii="仿宋_GB2312" w:hAnsi="宋体" w:eastAsia="仿宋_GB2312"/>
          <w:spacing w:val="10"/>
          <w:kern w:val="0"/>
          <w:sz w:val="32"/>
          <w:szCs w:val="32"/>
        </w:rPr>
        <w:t>（二）本办法由深圳市市场监督管理局负责解释。</w:t>
      </w:r>
    </w:p>
    <w:p>
      <w:pPr>
        <w:ind w:firstLine="680" w:firstLineChars="200"/>
        <w:jc w:val="left"/>
        <w:rPr>
          <w:rFonts w:hint="eastAsia" w:ascii="仿宋_GB2312" w:hAnsi="宋体" w:eastAsia="仿宋_GB2312"/>
          <w:spacing w:val="10"/>
          <w:kern w:val="0"/>
          <w:sz w:val="32"/>
          <w:szCs w:val="32"/>
        </w:rPr>
      </w:pPr>
      <w:bookmarkStart w:id="4" w:name="_GoBack"/>
      <w:bookmarkEnd w:id="4"/>
    </w:p>
    <w:p>
      <w:pPr>
        <w:spacing w:line="240" w:lineRule="auto"/>
        <w:ind w:firstLine="680" w:firstLineChars="200"/>
        <w:jc w:val="left"/>
        <w:rPr>
          <w:rFonts w:hint="eastAsia" w:ascii="仿宋_GB2312" w:hAnsi="宋体" w:eastAsia="仿宋_GB2312" w:cs="Times New Roman"/>
          <w:b w:val="0"/>
          <w:color w:val="auto"/>
          <w:spacing w:val="10"/>
          <w:kern w:val="0"/>
          <w:sz w:val="32"/>
          <w:szCs w:val="32"/>
        </w:rPr>
      </w:pPr>
      <w:r>
        <w:rPr>
          <w:rFonts w:hint="eastAsia" w:ascii="仿宋_GB2312" w:hAnsi="宋体" w:eastAsia="仿宋_GB2312"/>
          <w:color w:val="auto"/>
          <w:spacing w:val="10"/>
          <w:kern w:val="0"/>
          <w:sz w:val="32"/>
          <w:szCs w:val="32"/>
          <w:lang w:eastAsia="zh-CN"/>
        </w:rPr>
        <w:t>附件：</w:t>
      </w:r>
      <w:r>
        <w:rPr>
          <w:rFonts w:hint="eastAsia" w:ascii="仿宋_GB2312" w:hAnsi="宋体" w:eastAsia="仿宋_GB2312" w:cs="Times New Roman"/>
          <w:b w:val="0"/>
          <w:color w:val="auto"/>
          <w:spacing w:val="10"/>
          <w:kern w:val="0"/>
          <w:sz w:val="32"/>
          <w:szCs w:val="32"/>
        </w:rPr>
        <w:t>深圳市知识产权运营基金管理人遴选方案</w:t>
      </w:r>
    </w:p>
    <w:p>
      <w:pPr>
        <w:ind w:firstLine="680" w:firstLineChars="200"/>
        <w:jc w:val="left"/>
        <w:rPr>
          <w:rFonts w:hint="eastAsia" w:ascii="仿宋_GB2312" w:hAnsi="宋体" w:eastAsia="仿宋_GB2312"/>
          <w:spacing w:val="10"/>
          <w:kern w:val="0"/>
          <w:sz w:val="32"/>
          <w:szCs w:val="32"/>
          <w:lang w:eastAsia="zh-CN"/>
        </w:rPr>
      </w:pPr>
    </w:p>
    <w:p>
      <w:r>
        <w:br w:type="page"/>
      </w:r>
    </w:p>
    <w:p>
      <w:pPr>
        <w:jc w:val="left"/>
        <w:rPr>
          <w:rFonts w:ascii="黑体" w:hAnsi="黑体" w:eastAsia="黑体" w:cs="黑体"/>
          <w:spacing w:val="10"/>
          <w:kern w:val="0"/>
          <w:sz w:val="32"/>
          <w:szCs w:val="32"/>
        </w:rPr>
      </w:pPr>
      <w:r>
        <w:rPr>
          <w:rFonts w:hint="eastAsia" w:ascii="黑体" w:hAnsi="黑体" w:eastAsia="黑体" w:cs="黑体"/>
          <w:spacing w:val="10"/>
          <w:kern w:val="0"/>
          <w:sz w:val="32"/>
          <w:szCs w:val="32"/>
        </w:rPr>
        <w:t>附件</w:t>
      </w:r>
    </w:p>
    <w:p>
      <w:pPr>
        <w:spacing w:line="600" w:lineRule="exact"/>
        <w:jc w:val="center"/>
        <w:rPr>
          <w:rFonts w:ascii="华文中宋" w:hAnsi="华文中宋" w:eastAsia="华文中宋" w:cs="黑体"/>
          <w:b/>
          <w:spacing w:val="10"/>
          <w:sz w:val="44"/>
          <w:szCs w:val="44"/>
        </w:rPr>
      </w:pPr>
      <w:r>
        <w:rPr>
          <w:rFonts w:hint="eastAsia" w:ascii="华文中宋" w:hAnsi="华文中宋" w:eastAsia="华文中宋" w:cs="黑体"/>
          <w:b/>
          <w:spacing w:val="10"/>
          <w:sz w:val="44"/>
          <w:szCs w:val="44"/>
        </w:rPr>
        <w:t>深圳市知识产权运营基金管理人</w:t>
      </w:r>
    </w:p>
    <w:p>
      <w:pPr>
        <w:spacing w:line="600" w:lineRule="exact"/>
        <w:jc w:val="center"/>
        <w:rPr>
          <w:rFonts w:ascii="华文中宋" w:hAnsi="华文中宋" w:eastAsia="华文中宋" w:cs="黑体"/>
          <w:b/>
          <w:spacing w:val="10"/>
          <w:sz w:val="44"/>
          <w:szCs w:val="44"/>
        </w:rPr>
      </w:pPr>
      <w:r>
        <w:rPr>
          <w:rFonts w:hint="eastAsia" w:ascii="华文中宋" w:hAnsi="华文中宋" w:eastAsia="华文中宋" w:cs="黑体"/>
          <w:b/>
          <w:spacing w:val="10"/>
          <w:sz w:val="44"/>
          <w:szCs w:val="44"/>
        </w:rPr>
        <w:t>遴选方案</w:t>
      </w:r>
    </w:p>
    <w:p>
      <w:pPr>
        <w:rPr>
          <w:rFonts w:ascii="宋体" w:hAnsi="宋体"/>
          <w:spacing w:val="10"/>
          <w:sz w:val="44"/>
          <w:szCs w:val="44"/>
        </w:rPr>
      </w:pPr>
    </w:p>
    <w:p>
      <w:pPr>
        <w:ind w:firstLine="680" w:firstLineChars="200"/>
        <w:rPr>
          <w:rFonts w:ascii="仿宋_GB2312" w:hAnsi="宋体" w:eastAsia="仿宋_GB2312"/>
          <w:spacing w:val="10"/>
          <w:sz w:val="32"/>
          <w:szCs w:val="32"/>
        </w:rPr>
      </w:pPr>
      <w:r>
        <w:rPr>
          <w:rFonts w:hint="eastAsia" w:ascii="仿宋_GB2312" w:hAnsi="宋体" w:eastAsia="仿宋_GB2312"/>
          <w:spacing w:val="10"/>
          <w:sz w:val="32"/>
          <w:szCs w:val="32"/>
        </w:rPr>
        <w:t>为实现深圳市知识产权运营基金的科学管理、市场化运作，确保基金安全，最大限度发挥基金在推动我市知识产权运营发展中的作用，根据《深圳市知识产权运营基金管理办法（试行）》的要求，深圳市知识产权运营基金的基金管理人，以深圳市市场监督管理局向社会公开遴选的方式确定。</w:t>
      </w:r>
    </w:p>
    <w:p>
      <w:pPr>
        <w:numPr>
          <w:ilvl w:val="0"/>
          <w:numId w:val="1"/>
        </w:numPr>
        <w:rPr>
          <w:rFonts w:ascii="黑体" w:hAnsi="黑体" w:eastAsia="黑体"/>
          <w:spacing w:val="10"/>
          <w:sz w:val="32"/>
          <w:szCs w:val="32"/>
        </w:rPr>
      </w:pPr>
      <w:r>
        <w:rPr>
          <w:rFonts w:hint="eastAsia" w:ascii="黑体" w:hAnsi="黑体" w:eastAsia="黑体"/>
          <w:spacing w:val="10"/>
          <w:sz w:val="32"/>
          <w:szCs w:val="32"/>
        </w:rPr>
        <w:t>遴选方式</w:t>
      </w:r>
    </w:p>
    <w:p>
      <w:pPr>
        <w:rPr>
          <w:rFonts w:ascii="仿宋_GB2312" w:hAnsi="宋体" w:eastAsia="仿宋_GB2312"/>
          <w:spacing w:val="10"/>
          <w:sz w:val="32"/>
          <w:szCs w:val="32"/>
        </w:rPr>
      </w:pPr>
      <w:r>
        <w:rPr>
          <w:rFonts w:hint="eastAsia" w:ascii="仿宋_GB2312" w:hAnsi="宋体" w:eastAsia="仿宋_GB2312"/>
          <w:spacing w:val="10"/>
          <w:sz w:val="32"/>
          <w:szCs w:val="32"/>
        </w:rPr>
        <w:t xml:space="preserve">   在深圳市市场监督管理局门户网站发布遴选公告，面向社会公开遴选基金管理人，申报人以书面形式向深圳市市场监督管理局申报。公告受理时间不少于15天。</w:t>
      </w:r>
    </w:p>
    <w:p>
      <w:pPr>
        <w:numPr>
          <w:ilvl w:val="0"/>
          <w:numId w:val="1"/>
        </w:numPr>
        <w:rPr>
          <w:rFonts w:ascii="黑体" w:hAnsi="黑体" w:eastAsia="黑体"/>
          <w:spacing w:val="10"/>
          <w:sz w:val="32"/>
          <w:szCs w:val="32"/>
        </w:rPr>
      </w:pPr>
      <w:r>
        <w:rPr>
          <w:rFonts w:hint="eastAsia" w:ascii="黑体" w:hAnsi="黑体" w:eastAsia="黑体"/>
          <w:spacing w:val="10"/>
          <w:sz w:val="32"/>
          <w:szCs w:val="32"/>
        </w:rPr>
        <w:t>申报材料</w:t>
      </w:r>
    </w:p>
    <w:p>
      <w:pPr>
        <w:rPr>
          <w:rFonts w:ascii="仿宋_GB2312" w:hAnsi="黑体" w:eastAsia="仿宋_GB2312"/>
          <w:spacing w:val="10"/>
          <w:sz w:val="32"/>
          <w:szCs w:val="32"/>
        </w:rPr>
      </w:pPr>
      <w:r>
        <w:rPr>
          <w:rFonts w:hint="eastAsia" w:ascii="仿宋_GB2312" w:hAnsi="黑体" w:eastAsia="仿宋_GB2312"/>
          <w:spacing w:val="10"/>
          <w:sz w:val="32"/>
          <w:szCs w:val="32"/>
        </w:rPr>
        <w:t xml:space="preserve">    申报人应向</w:t>
      </w:r>
      <w:r>
        <w:rPr>
          <w:rFonts w:hint="eastAsia" w:ascii="仿宋_GB2312" w:hAnsi="宋体" w:eastAsia="仿宋_GB2312"/>
          <w:spacing w:val="10"/>
          <w:sz w:val="32"/>
          <w:szCs w:val="32"/>
        </w:rPr>
        <w:t>深圳市市场监督管理局</w:t>
      </w:r>
      <w:r>
        <w:rPr>
          <w:rFonts w:hint="eastAsia" w:ascii="仿宋_GB2312" w:hAnsi="黑体" w:eastAsia="仿宋_GB2312"/>
          <w:spacing w:val="10"/>
          <w:sz w:val="32"/>
          <w:szCs w:val="32"/>
        </w:rPr>
        <w:t>提交的材料包括：营业执照、组织机构代码证复印件，法人代表证明书，《深圳市知识产权运营基金实施方案》草案，上一年度单位财务报表，管理团队人员资质证明、知识产权运营服务能力证明（</w:t>
      </w:r>
      <w:bookmarkStart w:id="2" w:name="_Hlk15139096"/>
      <w:r>
        <w:rPr>
          <w:rFonts w:hint="eastAsia" w:ascii="仿宋_GB2312" w:hAnsi="黑体" w:eastAsia="仿宋_GB2312"/>
          <w:spacing w:val="10"/>
          <w:sz w:val="32"/>
          <w:szCs w:val="32"/>
        </w:rPr>
        <w:t>包括与知识产权相关的服务产品证明，或与知识产权专业机构的合作协议</w:t>
      </w:r>
      <w:bookmarkEnd w:id="2"/>
      <w:r>
        <w:rPr>
          <w:rFonts w:hint="eastAsia" w:ascii="仿宋_GB2312" w:hAnsi="黑体" w:eastAsia="仿宋_GB2312"/>
          <w:spacing w:val="10"/>
          <w:sz w:val="32"/>
          <w:szCs w:val="32"/>
        </w:rPr>
        <w:t>证明），以及其他资质证明材料，申报材料真实性承诺书等。</w:t>
      </w:r>
    </w:p>
    <w:p>
      <w:pPr>
        <w:numPr>
          <w:ilvl w:val="0"/>
          <w:numId w:val="1"/>
        </w:numPr>
        <w:rPr>
          <w:rFonts w:ascii="黑体" w:hAnsi="黑体" w:eastAsia="黑体"/>
          <w:spacing w:val="10"/>
          <w:sz w:val="32"/>
          <w:szCs w:val="32"/>
        </w:rPr>
      </w:pPr>
      <w:r>
        <w:rPr>
          <w:rFonts w:hint="eastAsia" w:ascii="黑体" w:hAnsi="黑体" w:eastAsia="黑体"/>
          <w:spacing w:val="10"/>
          <w:sz w:val="32"/>
          <w:szCs w:val="32"/>
        </w:rPr>
        <w:t>基金管理人确定方式</w:t>
      </w:r>
    </w:p>
    <w:p>
      <w:pPr>
        <w:ind w:firstLine="680" w:firstLineChars="200"/>
        <w:rPr>
          <w:rFonts w:ascii="仿宋_GB2312" w:hAnsi="宋体" w:eastAsia="仿宋_GB2312"/>
          <w:spacing w:val="10"/>
          <w:sz w:val="32"/>
          <w:szCs w:val="32"/>
        </w:rPr>
      </w:pPr>
      <w:r>
        <w:rPr>
          <w:rFonts w:hint="eastAsia" w:ascii="仿宋_GB2312" w:hAnsi="宋体" w:eastAsia="仿宋_GB2312"/>
          <w:spacing w:val="10"/>
          <w:sz w:val="32"/>
          <w:szCs w:val="32"/>
        </w:rPr>
        <w:t>基金管理人的遴选由专家评审确定，全体专家按照本方案的评分标准评分，按照得分高低确定入选名单,总得分最高者确定为基金管理人初步人选。</w:t>
      </w:r>
    </w:p>
    <w:p>
      <w:pPr>
        <w:ind w:firstLine="680" w:firstLineChars="200"/>
        <w:rPr>
          <w:rFonts w:ascii="仿宋_GB2312" w:hAnsi="宋体" w:eastAsia="仿宋_GB2312"/>
          <w:spacing w:val="10"/>
          <w:sz w:val="32"/>
          <w:szCs w:val="32"/>
        </w:rPr>
      </w:pPr>
      <w:r>
        <w:rPr>
          <w:rFonts w:hint="eastAsia" w:ascii="仿宋_GB2312" w:hAnsi="宋体" w:eastAsia="仿宋_GB2312"/>
          <w:spacing w:val="10"/>
          <w:sz w:val="32"/>
          <w:szCs w:val="32"/>
        </w:rPr>
        <w:t>只有一家单位申报的，经专家评审，认为申报人符合基金管理人条件的，确定为基金管理人初步人选。</w:t>
      </w:r>
    </w:p>
    <w:p>
      <w:pPr>
        <w:ind w:firstLine="680" w:firstLineChars="200"/>
        <w:rPr>
          <w:rFonts w:ascii="仿宋_GB2312" w:hAnsi="宋体" w:eastAsia="仿宋_GB2312"/>
          <w:spacing w:val="10"/>
          <w:sz w:val="32"/>
          <w:szCs w:val="32"/>
        </w:rPr>
      </w:pPr>
      <w:r>
        <w:rPr>
          <w:rFonts w:hint="eastAsia" w:ascii="仿宋_GB2312" w:hAnsi="宋体" w:eastAsia="仿宋_GB2312"/>
          <w:spacing w:val="10"/>
          <w:sz w:val="32"/>
          <w:szCs w:val="32"/>
        </w:rPr>
        <w:t>基金管理人初步人选确定后，经深圳市市场监督管理局审议</w:t>
      </w:r>
      <w:r>
        <w:rPr>
          <w:rFonts w:hint="eastAsia" w:ascii="仿宋_GB2312" w:hAnsi="宋体" w:eastAsia="仿宋_GB2312"/>
          <w:spacing w:val="10"/>
          <w:sz w:val="32"/>
          <w:szCs w:val="32"/>
          <w:lang w:eastAsia="zh-CN"/>
        </w:rPr>
        <w:t>后</w:t>
      </w:r>
      <w:r>
        <w:rPr>
          <w:rFonts w:hint="eastAsia" w:ascii="仿宋_GB2312" w:hAnsi="宋体" w:eastAsia="仿宋_GB2312"/>
          <w:spacing w:val="10"/>
          <w:sz w:val="32"/>
          <w:szCs w:val="32"/>
        </w:rPr>
        <w:t>，报市政府审定。</w:t>
      </w:r>
    </w:p>
    <w:p>
      <w:pPr>
        <w:ind w:firstLine="680" w:firstLineChars="200"/>
        <w:rPr>
          <w:rFonts w:ascii="仿宋_GB2312" w:hAnsi="宋体" w:eastAsia="仿宋_GB2312"/>
          <w:spacing w:val="10"/>
          <w:sz w:val="32"/>
          <w:szCs w:val="32"/>
        </w:rPr>
      </w:pPr>
      <w:r>
        <w:rPr>
          <w:rFonts w:hint="eastAsia" w:ascii="仿宋_GB2312" w:hAnsi="宋体" w:eastAsia="仿宋_GB2312"/>
          <w:spacing w:val="10"/>
          <w:sz w:val="32"/>
          <w:szCs w:val="32"/>
        </w:rPr>
        <w:t>经市政府审定的基金管理人应向社会公示。</w:t>
      </w:r>
    </w:p>
    <w:p>
      <w:pPr>
        <w:numPr>
          <w:ilvl w:val="0"/>
          <w:numId w:val="1"/>
        </w:numPr>
        <w:rPr>
          <w:rFonts w:ascii="黑体" w:hAnsi="黑体" w:eastAsia="黑体"/>
          <w:spacing w:val="10"/>
          <w:sz w:val="32"/>
          <w:szCs w:val="32"/>
        </w:rPr>
      </w:pPr>
      <w:r>
        <w:rPr>
          <w:rFonts w:hint="eastAsia" w:ascii="黑体" w:hAnsi="黑体" w:eastAsia="黑体"/>
          <w:spacing w:val="10"/>
          <w:sz w:val="32"/>
          <w:szCs w:val="32"/>
        </w:rPr>
        <w:t>专家组成</w:t>
      </w:r>
    </w:p>
    <w:p>
      <w:pPr>
        <w:ind w:firstLine="680" w:firstLineChars="200"/>
        <w:rPr>
          <w:rFonts w:hint="eastAsia" w:ascii="仿宋_GB2312" w:hAnsi="宋体" w:eastAsia="仿宋_GB2312"/>
          <w:spacing w:val="10"/>
          <w:sz w:val="32"/>
          <w:szCs w:val="32"/>
        </w:rPr>
      </w:pPr>
      <w:r>
        <w:rPr>
          <w:rFonts w:hint="eastAsia" w:ascii="仿宋_GB2312" w:hAnsi="宋体" w:eastAsia="仿宋_GB2312"/>
          <w:spacing w:val="10"/>
          <w:sz w:val="32"/>
          <w:szCs w:val="32"/>
        </w:rPr>
        <w:t>专家从各级政府部门、金融机构、科研机构、高等院校中产生。</w:t>
      </w:r>
    </w:p>
    <w:p>
      <w:pPr>
        <w:numPr>
          <w:ilvl w:val="0"/>
          <w:numId w:val="1"/>
        </w:numPr>
        <w:rPr>
          <w:rFonts w:hint="eastAsia" w:ascii="黑体" w:hAnsi="黑体" w:eastAsia="黑体"/>
          <w:spacing w:val="10"/>
          <w:sz w:val="32"/>
          <w:szCs w:val="32"/>
        </w:rPr>
      </w:pPr>
      <w:r>
        <w:rPr>
          <w:rFonts w:hint="eastAsia" w:ascii="黑体" w:hAnsi="黑体" w:eastAsia="黑体"/>
          <w:spacing w:val="10"/>
          <w:sz w:val="32"/>
          <w:szCs w:val="32"/>
        </w:rPr>
        <w:t>专家产生</w:t>
      </w:r>
    </w:p>
    <w:p>
      <w:pPr>
        <w:rPr>
          <w:rFonts w:hint="eastAsia" w:ascii="仿宋_GB2312" w:hAnsi="宋体" w:eastAsia="仿宋_GB2312"/>
          <w:spacing w:val="10"/>
          <w:sz w:val="32"/>
          <w:szCs w:val="32"/>
        </w:rPr>
      </w:pPr>
      <w:r>
        <w:rPr>
          <w:rFonts w:hint="eastAsia" w:ascii="仿宋_GB2312" w:hAnsi="宋体" w:eastAsia="仿宋_GB2312"/>
          <w:spacing w:val="10"/>
          <w:sz w:val="32"/>
          <w:szCs w:val="32"/>
        </w:rPr>
        <w:t xml:space="preserve">   专家人数为9人，从深圳市知识产权专家库中，</w:t>
      </w:r>
      <w:r>
        <w:rPr>
          <w:rFonts w:hint="eastAsia" w:ascii="仿宋_GB2312" w:hAnsi="仿宋_GB2312" w:eastAsia="仿宋_GB2312" w:cs="仿宋_GB2312"/>
          <w:sz w:val="32"/>
          <w:szCs w:val="32"/>
        </w:rPr>
        <w:t>按照1:3的比例随机抽取专家27位专家，形成</w:t>
      </w:r>
      <w:r>
        <w:rPr>
          <w:rFonts w:hint="eastAsia" w:ascii="Arial" w:hAnsi="Arial" w:eastAsia="仿宋_GB2312" w:cs="Arial"/>
          <w:sz w:val="32"/>
          <w:szCs w:val="32"/>
        </w:rPr>
        <w:t>项目专家抽取记录表、</w:t>
      </w:r>
      <w:r>
        <w:rPr>
          <w:rFonts w:hint="eastAsia" w:ascii="仿宋_GB2312" w:hAnsi="仿宋_GB2312" w:eastAsia="仿宋_GB2312" w:cs="仿宋_GB2312"/>
          <w:sz w:val="32"/>
          <w:szCs w:val="32"/>
        </w:rPr>
        <w:t>会议纪要，由所有参与处室签字后由业务主管处室归档。业务主办处室根据该名单联系专家，确认专家是否参加评审，确认专家数量达到评审要求为止。根据最终确定结果形成</w:t>
      </w:r>
      <w:r>
        <w:rPr>
          <w:rFonts w:hint="eastAsia" w:ascii="Arial" w:hAnsi="Arial" w:eastAsia="仿宋_GB2312" w:cs="Arial"/>
          <w:sz w:val="32"/>
          <w:szCs w:val="32"/>
        </w:rPr>
        <w:t>项目正式专家名单</w:t>
      </w:r>
      <w:r>
        <w:rPr>
          <w:rFonts w:hint="eastAsia" w:ascii="仿宋_GB2312" w:hAnsi="仿宋_GB2312" w:eastAsia="仿宋_GB2312" w:cs="仿宋_GB2312"/>
          <w:sz w:val="32"/>
          <w:szCs w:val="32"/>
        </w:rPr>
        <w:t>。</w:t>
      </w:r>
    </w:p>
    <w:p>
      <w:pPr>
        <w:ind w:firstLine="660"/>
        <w:rPr>
          <w:rFonts w:ascii="黑体" w:hAnsi="黑体" w:eastAsia="黑体"/>
          <w:spacing w:val="10"/>
          <w:sz w:val="32"/>
          <w:szCs w:val="32"/>
        </w:rPr>
      </w:pPr>
      <w:r>
        <w:rPr>
          <w:rFonts w:hint="eastAsia" w:ascii="黑体" w:hAnsi="黑体" w:eastAsia="黑体"/>
          <w:spacing w:val="10"/>
          <w:sz w:val="32"/>
          <w:szCs w:val="32"/>
        </w:rPr>
        <w:t>六、评分标准</w:t>
      </w:r>
    </w:p>
    <w:p>
      <w:pPr>
        <w:ind w:firstLine="660"/>
        <w:rPr>
          <w:rFonts w:ascii="仿宋_GB2312" w:hAnsi="宋体" w:eastAsia="仿宋_GB2312"/>
          <w:spacing w:val="10"/>
          <w:sz w:val="32"/>
          <w:szCs w:val="32"/>
        </w:rPr>
      </w:pPr>
      <w:r>
        <w:rPr>
          <w:rFonts w:hint="eastAsia" w:ascii="仿宋_GB2312" w:hAnsi="宋体" w:eastAsia="仿宋_GB2312"/>
          <w:spacing w:val="10"/>
          <w:sz w:val="32"/>
          <w:szCs w:val="32"/>
        </w:rPr>
        <w:t>主要从申报单位的</w:t>
      </w:r>
      <w:r>
        <w:rPr>
          <w:rFonts w:hint="eastAsia" w:ascii="仿宋_GB2312" w:hAnsi="宋体" w:eastAsia="仿宋_GB2312"/>
          <w:spacing w:val="10"/>
          <w:sz w:val="32"/>
          <w:szCs w:val="32"/>
          <w:lang w:eastAsia="zh-CN"/>
        </w:rPr>
        <w:t>股东背景、</w:t>
      </w:r>
      <w:r>
        <w:rPr>
          <w:rFonts w:hint="eastAsia" w:ascii="仿宋_GB2312" w:hAnsi="宋体" w:eastAsia="仿宋_GB2312"/>
          <w:spacing w:val="10"/>
          <w:sz w:val="32"/>
          <w:szCs w:val="32"/>
        </w:rPr>
        <w:t>规模、</w:t>
      </w:r>
      <w:r>
        <w:rPr>
          <w:rFonts w:hint="eastAsia" w:ascii="仿宋_GB2312" w:hAnsi="宋体" w:eastAsia="仿宋_GB2312"/>
          <w:spacing w:val="10"/>
          <w:sz w:val="32"/>
          <w:szCs w:val="32"/>
          <w:lang w:eastAsia="zh-CN"/>
        </w:rPr>
        <w:t>资质、</w:t>
      </w:r>
      <w:r>
        <w:rPr>
          <w:rFonts w:hint="eastAsia" w:ascii="仿宋_GB2312" w:hAnsi="宋体" w:eastAsia="仿宋_GB2312"/>
          <w:spacing w:val="10"/>
          <w:sz w:val="32"/>
          <w:szCs w:val="32"/>
        </w:rPr>
        <w:t>基金管理经验、基金运营团队能力等方面综合评定。具体评分标准如下：</w:t>
      </w:r>
    </w:p>
    <w:tbl>
      <w:tblPr>
        <w:tblStyle w:val="5"/>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33"/>
        <w:gridCol w:w="1938"/>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blHeader/>
          <w:jc w:val="center"/>
        </w:trPr>
        <w:tc>
          <w:tcPr>
            <w:tcW w:w="1560" w:type="dxa"/>
            <w:vAlign w:val="center"/>
          </w:tcPr>
          <w:p>
            <w:pPr>
              <w:jc w:val="center"/>
              <w:rPr>
                <w:rFonts w:ascii="黑体" w:eastAsia="黑体"/>
                <w:sz w:val="28"/>
                <w:szCs w:val="28"/>
              </w:rPr>
            </w:pPr>
            <w:r>
              <w:rPr>
                <w:rFonts w:hint="eastAsia" w:ascii="黑体" w:eastAsia="黑体"/>
                <w:sz w:val="28"/>
                <w:szCs w:val="28"/>
              </w:rPr>
              <w:t>一级指标</w:t>
            </w:r>
          </w:p>
        </w:tc>
        <w:tc>
          <w:tcPr>
            <w:tcW w:w="1733" w:type="dxa"/>
            <w:vAlign w:val="center"/>
          </w:tcPr>
          <w:p>
            <w:pPr>
              <w:jc w:val="center"/>
              <w:rPr>
                <w:rFonts w:ascii="黑体" w:eastAsia="黑体"/>
                <w:sz w:val="28"/>
                <w:szCs w:val="28"/>
              </w:rPr>
            </w:pPr>
            <w:r>
              <w:rPr>
                <w:rFonts w:hint="eastAsia" w:ascii="黑体" w:eastAsia="黑体"/>
                <w:sz w:val="28"/>
                <w:szCs w:val="28"/>
              </w:rPr>
              <w:t>二级指标</w:t>
            </w:r>
          </w:p>
        </w:tc>
        <w:tc>
          <w:tcPr>
            <w:tcW w:w="1938" w:type="dxa"/>
            <w:vAlign w:val="center"/>
          </w:tcPr>
          <w:p>
            <w:pPr>
              <w:jc w:val="center"/>
              <w:rPr>
                <w:rFonts w:ascii="黑体" w:eastAsia="黑体"/>
                <w:sz w:val="28"/>
                <w:szCs w:val="28"/>
              </w:rPr>
            </w:pPr>
            <w:r>
              <w:rPr>
                <w:rFonts w:hint="eastAsia" w:ascii="黑体" w:eastAsia="黑体"/>
                <w:sz w:val="28"/>
                <w:szCs w:val="28"/>
              </w:rPr>
              <w:t>评分要点</w:t>
            </w:r>
          </w:p>
        </w:tc>
        <w:tc>
          <w:tcPr>
            <w:tcW w:w="3128" w:type="dxa"/>
            <w:vAlign w:val="center"/>
          </w:tcPr>
          <w:p>
            <w:pPr>
              <w:jc w:val="center"/>
              <w:rPr>
                <w:rFonts w:ascii="黑体" w:eastAsia="黑体"/>
                <w:sz w:val="28"/>
                <w:szCs w:val="28"/>
              </w:rPr>
            </w:pPr>
            <w:r>
              <w:rPr>
                <w:rFonts w:hint="eastAsia" w:ascii="黑体" w:eastAsia="黑体"/>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1560" w:type="dxa"/>
            <w:vMerge w:val="restart"/>
            <w:vAlign w:val="center"/>
          </w:tcPr>
          <w:p>
            <w:pPr>
              <w:jc w:val="center"/>
              <w:rPr>
                <w:rFonts w:ascii="宋体" w:hAnsi="宋体"/>
                <w:b/>
                <w:sz w:val="24"/>
              </w:rPr>
            </w:pPr>
            <w:r>
              <w:rPr>
                <w:rFonts w:hint="eastAsia" w:ascii="宋体" w:hAnsi="宋体"/>
                <w:b/>
                <w:sz w:val="24"/>
              </w:rPr>
              <w:t>申报机构综合实力</w:t>
            </w:r>
          </w:p>
          <w:p>
            <w:pPr>
              <w:jc w:val="center"/>
              <w:rPr>
                <w:rFonts w:ascii="宋体" w:hAnsi="宋体"/>
                <w:sz w:val="24"/>
              </w:rPr>
            </w:pPr>
            <w:r>
              <w:rPr>
                <w:rFonts w:hint="eastAsia" w:ascii="宋体" w:hAnsi="宋体"/>
                <w:b/>
                <w:sz w:val="24"/>
              </w:rPr>
              <w:t>（55分）</w:t>
            </w:r>
          </w:p>
        </w:tc>
        <w:tc>
          <w:tcPr>
            <w:tcW w:w="1733" w:type="dxa"/>
            <w:vMerge w:val="restart"/>
            <w:vAlign w:val="center"/>
          </w:tcPr>
          <w:p>
            <w:pPr>
              <w:jc w:val="center"/>
              <w:rPr>
                <w:rFonts w:ascii="宋体" w:hAnsi="宋体"/>
                <w:sz w:val="24"/>
              </w:rPr>
            </w:pPr>
          </w:p>
          <w:p>
            <w:pPr>
              <w:jc w:val="center"/>
              <w:rPr>
                <w:rFonts w:ascii="宋体" w:hAnsi="宋体"/>
                <w:sz w:val="24"/>
              </w:rPr>
            </w:pPr>
            <w:r>
              <w:rPr>
                <w:rFonts w:hint="eastAsia" w:ascii="宋体" w:hAnsi="宋体"/>
                <w:sz w:val="24"/>
              </w:rPr>
              <w:t>申报机构的基本情况（35分）</w:t>
            </w:r>
          </w:p>
        </w:tc>
        <w:tc>
          <w:tcPr>
            <w:tcW w:w="1938" w:type="dxa"/>
            <w:vAlign w:val="center"/>
          </w:tcPr>
          <w:p>
            <w:pPr>
              <w:jc w:val="center"/>
              <w:rPr>
                <w:rFonts w:ascii="宋体" w:hAnsi="宋体"/>
                <w:sz w:val="24"/>
              </w:rPr>
            </w:pPr>
          </w:p>
          <w:p>
            <w:pPr>
              <w:jc w:val="center"/>
              <w:rPr>
                <w:rFonts w:ascii="宋体" w:hAnsi="宋体"/>
                <w:sz w:val="24"/>
              </w:rPr>
            </w:pPr>
            <w:r>
              <w:rPr>
                <w:rFonts w:hint="eastAsia" w:ascii="宋体" w:hAnsi="宋体"/>
                <w:sz w:val="24"/>
              </w:rPr>
              <w:t>注册资本额（</w:t>
            </w:r>
            <w:r>
              <w:rPr>
                <w:rFonts w:ascii="宋体" w:hAnsi="宋体"/>
                <w:sz w:val="24"/>
              </w:rPr>
              <w:t>5</w:t>
            </w:r>
            <w:r>
              <w:rPr>
                <w:rFonts w:hint="eastAsia" w:ascii="宋体" w:hAnsi="宋体"/>
                <w:sz w:val="24"/>
              </w:rPr>
              <w:t>分）</w:t>
            </w:r>
          </w:p>
        </w:tc>
        <w:tc>
          <w:tcPr>
            <w:tcW w:w="3128" w:type="dxa"/>
            <w:vAlign w:val="center"/>
          </w:tcPr>
          <w:p>
            <w:pPr>
              <w:jc w:val="center"/>
              <w:rPr>
                <w:rFonts w:ascii="宋体" w:hAnsi="宋体"/>
                <w:sz w:val="24"/>
              </w:rPr>
            </w:pPr>
            <w:r>
              <w:rPr>
                <w:rFonts w:ascii="宋体" w:hAnsi="宋体"/>
                <w:sz w:val="24"/>
              </w:rPr>
              <w:t>5</w:t>
            </w:r>
            <w:r>
              <w:rPr>
                <w:rFonts w:hint="eastAsia" w:ascii="宋体" w:hAnsi="宋体"/>
                <w:sz w:val="24"/>
              </w:rPr>
              <w:t>亿以上：</w:t>
            </w:r>
            <w:r>
              <w:rPr>
                <w:rFonts w:ascii="宋体" w:hAnsi="宋体"/>
                <w:sz w:val="24"/>
              </w:rPr>
              <w:t>5</w:t>
            </w:r>
            <w:r>
              <w:rPr>
                <w:rFonts w:hint="eastAsia" w:ascii="宋体" w:hAnsi="宋体"/>
                <w:sz w:val="24"/>
              </w:rPr>
              <w:t>分；</w:t>
            </w:r>
          </w:p>
          <w:p>
            <w:pPr>
              <w:jc w:val="center"/>
              <w:rPr>
                <w:rFonts w:ascii="宋体" w:hAnsi="宋体"/>
                <w:sz w:val="24"/>
              </w:rPr>
            </w:pPr>
            <w:r>
              <w:rPr>
                <w:rFonts w:hint="eastAsia" w:ascii="宋体" w:hAnsi="宋体"/>
                <w:sz w:val="24"/>
              </w:rPr>
              <w:t>1亿-5亿：</w:t>
            </w:r>
            <w:r>
              <w:rPr>
                <w:rFonts w:ascii="宋体" w:hAnsi="宋体"/>
                <w:sz w:val="24"/>
              </w:rPr>
              <w:t>4</w:t>
            </w:r>
            <w:r>
              <w:rPr>
                <w:rFonts w:hint="eastAsia" w:ascii="宋体" w:hAnsi="宋体"/>
                <w:sz w:val="24"/>
              </w:rPr>
              <w:t>分；</w:t>
            </w:r>
          </w:p>
          <w:p>
            <w:pPr>
              <w:jc w:val="center"/>
              <w:rPr>
                <w:rFonts w:ascii="宋体" w:hAnsi="宋体"/>
                <w:sz w:val="24"/>
              </w:rPr>
            </w:pPr>
            <w:r>
              <w:rPr>
                <w:rFonts w:hint="eastAsia" w:ascii="宋体" w:hAnsi="宋体"/>
                <w:sz w:val="24"/>
              </w:rPr>
              <w:t>1亿以下：</w:t>
            </w:r>
            <w:r>
              <w:rPr>
                <w:rFonts w:ascii="宋体" w:hAnsi="宋体"/>
                <w:sz w:val="24"/>
              </w:rPr>
              <w:t>3</w:t>
            </w:r>
            <w:r>
              <w:rPr>
                <w:rFonts w:hint="eastAsia" w:ascii="宋体" w:hAnsi="宋体"/>
                <w:sz w:val="24"/>
              </w:rPr>
              <w:t>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vMerge w:val="continue"/>
            <w:vAlign w:val="center"/>
          </w:tcPr>
          <w:p>
            <w:pPr>
              <w:jc w:val="center"/>
              <w:rPr>
                <w:rFonts w:ascii="宋体" w:hAnsi="宋体"/>
                <w:b/>
                <w:sz w:val="24"/>
              </w:rPr>
            </w:pPr>
          </w:p>
        </w:tc>
        <w:tc>
          <w:tcPr>
            <w:tcW w:w="1733" w:type="dxa"/>
            <w:vMerge w:val="continue"/>
            <w:vAlign w:val="center"/>
          </w:tcPr>
          <w:p>
            <w:pPr>
              <w:jc w:val="center"/>
              <w:rPr>
                <w:rFonts w:ascii="宋体" w:hAnsi="宋体"/>
                <w:sz w:val="24"/>
              </w:rPr>
            </w:pPr>
          </w:p>
        </w:tc>
        <w:tc>
          <w:tcPr>
            <w:tcW w:w="1938" w:type="dxa"/>
            <w:vAlign w:val="center"/>
          </w:tcPr>
          <w:p>
            <w:pPr>
              <w:jc w:val="center"/>
              <w:rPr>
                <w:rFonts w:ascii="宋体" w:hAnsi="宋体"/>
                <w:sz w:val="24"/>
              </w:rPr>
            </w:pPr>
            <w:r>
              <w:rPr>
                <w:rFonts w:hint="eastAsia" w:ascii="宋体" w:hAnsi="宋体"/>
                <w:sz w:val="24"/>
              </w:rPr>
              <w:t>股东情况（</w:t>
            </w:r>
            <w:r>
              <w:rPr>
                <w:rFonts w:ascii="宋体" w:hAnsi="宋体"/>
                <w:sz w:val="24"/>
              </w:rPr>
              <w:t>15</w:t>
            </w:r>
            <w:r>
              <w:rPr>
                <w:rFonts w:hint="eastAsia" w:ascii="宋体" w:hAnsi="宋体"/>
                <w:sz w:val="24"/>
              </w:rPr>
              <w:t>分）</w:t>
            </w:r>
          </w:p>
        </w:tc>
        <w:tc>
          <w:tcPr>
            <w:tcW w:w="3128" w:type="dxa"/>
            <w:vAlign w:val="center"/>
          </w:tcPr>
          <w:p>
            <w:pPr>
              <w:jc w:val="center"/>
              <w:rPr>
                <w:rFonts w:ascii="宋体" w:hAnsi="宋体"/>
                <w:sz w:val="24"/>
              </w:rPr>
            </w:pPr>
            <w:r>
              <w:rPr>
                <w:rFonts w:hint="eastAsia" w:ascii="宋体" w:hAnsi="宋体"/>
                <w:sz w:val="24"/>
              </w:rPr>
              <w:t>控股股东为央企或本地国有控股的：</w:t>
            </w:r>
            <w:r>
              <w:rPr>
                <w:rFonts w:ascii="宋体" w:hAnsi="宋体"/>
                <w:sz w:val="24"/>
              </w:rPr>
              <w:t>15</w:t>
            </w:r>
            <w:r>
              <w:rPr>
                <w:rFonts w:hint="eastAsia" w:ascii="宋体" w:hAnsi="宋体"/>
                <w:sz w:val="24"/>
              </w:rPr>
              <w:t>分；</w:t>
            </w:r>
          </w:p>
          <w:p>
            <w:pPr>
              <w:jc w:val="center"/>
              <w:rPr>
                <w:rFonts w:ascii="宋体" w:hAnsi="宋体"/>
                <w:sz w:val="24"/>
              </w:rPr>
            </w:pPr>
            <w:r>
              <w:rPr>
                <w:rFonts w:hint="eastAsia" w:ascii="宋体" w:hAnsi="宋体"/>
                <w:sz w:val="24"/>
              </w:rPr>
              <w:t>控股股东为非央企或本地国有控股的：</w:t>
            </w:r>
            <w:r>
              <w:rPr>
                <w:rFonts w:ascii="宋体" w:hAnsi="宋体"/>
                <w:sz w:val="24"/>
              </w:rPr>
              <w:t>5</w:t>
            </w:r>
            <w:r>
              <w:rPr>
                <w:rFonts w:hint="eastAsia" w:ascii="宋体" w:hAnsi="宋体"/>
                <w:sz w:val="24"/>
              </w:rPr>
              <w:t>分及以下。</w:t>
            </w: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jc w:val="center"/>
        </w:trPr>
        <w:tc>
          <w:tcPr>
            <w:tcW w:w="1560" w:type="dxa"/>
            <w:vMerge w:val="continue"/>
            <w:vAlign w:val="center"/>
          </w:tcPr>
          <w:p>
            <w:pPr>
              <w:jc w:val="center"/>
              <w:rPr>
                <w:rFonts w:ascii="宋体" w:hAnsi="宋体"/>
                <w:b/>
                <w:sz w:val="24"/>
              </w:rPr>
            </w:pPr>
          </w:p>
        </w:tc>
        <w:tc>
          <w:tcPr>
            <w:tcW w:w="1733" w:type="dxa"/>
            <w:vMerge w:val="continue"/>
            <w:vAlign w:val="center"/>
          </w:tcPr>
          <w:p>
            <w:pPr>
              <w:jc w:val="center"/>
              <w:rPr>
                <w:rFonts w:ascii="宋体" w:hAnsi="宋体"/>
                <w:sz w:val="24"/>
              </w:rPr>
            </w:pPr>
          </w:p>
        </w:tc>
        <w:tc>
          <w:tcPr>
            <w:tcW w:w="1938" w:type="dxa"/>
            <w:vAlign w:val="center"/>
          </w:tcPr>
          <w:p>
            <w:pPr>
              <w:jc w:val="center"/>
              <w:rPr>
                <w:rFonts w:ascii="宋体" w:hAnsi="宋体"/>
                <w:sz w:val="24"/>
              </w:rPr>
            </w:pPr>
            <w:r>
              <w:rPr>
                <w:rFonts w:hint="eastAsia" w:ascii="宋体" w:hAnsi="宋体"/>
                <w:sz w:val="24"/>
              </w:rPr>
              <w:t>知识产权业务</w:t>
            </w:r>
          </w:p>
          <w:p>
            <w:pPr>
              <w:jc w:val="center"/>
              <w:rPr>
                <w:rFonts w:ascii="宋体" w:hAnsi="宋体"/>
                <w:sz w:val="24"/>
              </w:rPr>
            </w:pPr>
            <w:r>
              <w:rPr>
                <w:rFonts w:hint="eastAsia" w:ascii="宋体" w:hAnsi="宋体"/>
                <w:sz w:val="24"/>
              </w:rPr>
              <w:t>经验（提供相关证明文件）</w:t>
            </w:r>
          </w:p>
          <w:p>
            <w:pPr>
              <w:jc w:val="center"/>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分）</w:t>
            </w:r>
          </w:p>
        </w:tc>
        <w:tc>
          <w:tcPr>
            <w:tcW w:w="3128" w:type="dxa"/>
            <w:vAlign w:val="center"/>
          </w:tcPr>
          <w:p>
            <w:pPr>
              <w:jc w:val="center"/>
              <w:rPr>
                <w:rFonts w:ascii="宋体" w:hAnsi="宋体"/>
                <w:sz w:val="24"/>
              </w:rPr>
            </w:pPr>
            <w:r>
              <w:rPr>
                <w:rFonts w:hint="eastAsia" w:ascii="宋体" w:hAnsi="宋体"/>
                <w:sz w:val="24"/>
              </w:rPr>
              <w:t>有知识产权相关服务产品</w:t>
            </w:r>
          </w:p>
          <w:p>
            <w:pPr>
              <w:jc w:val="center"/>
              <w:rPr>
                <w:rFonts w:ascii="宋体" w:hAnsi="宋体"/>
                <w:sz w:val="24"/>
              </w:rPr>
            </w:pPr>
            <w:r>
              <w:rPr>
                <w:rFonts w:hint="eastAsia" w:ascii="宋体" w:hAnsi="宋体"/>
                <w:sz w:val="24"/>
              </w:rPr>
              <w:t>经验：</w:t>
            </w:r>
            <w:r>
              <w:rPr>
                <w:rFonts w:ascii="宋体" w:hAnsi="宋体"/>
                <w:sz w:val="24"/>
              </w:rPr>
              <w:t>6</w:t>
            </w:r>
            <w:r>
              <w:rPr>
                <w:rFonts w:hint="eastAsia" w:ascii="宋体" w:hAnsi="宋体"/>
                <w:sz w:val="24"/>
              </w:rPr>
              <w:t>-</w:t>
            </w:r>
            <w:r>
              <w:rPr>
                <w:rFonts w:ascii="宋体" w:hAnsi="宋体"/>
                <w:sz w:val="24"/>
              </w:rPr>
              <w:t>10</w:t>
            </w:r>
            <w:r>
              <w:rPr>
                <w:rFonts w:hint="eastAsia" w:ascii="宋体" w:hAnsi="宋体"/>
                <w:sz w:val="24"/>
              </w:rPr>
              <w:t>分；</w:t>
            </w:r>
          </w:p>
          <w:p>
            <w:pPr>
              <w:jc w:val="center"/>
              <w:rPr>
                <w:rFonts w:ascii="宋体" w:hAnsi="宋体"/>
                <w:sz w:val="24"/>
              </w:rPr>
            </w:pPr>
            <w:r>
              <w:rPr>
                <w:rFonts w:hint="eastAsia" w:ascii="宋体" w:hAnsi="宋体"/>
                <w:sz w:val="24"/>
              </w:rPr>
              <w:t>没有知识产权相关服务产品经验；3分及以下。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1560" w:type="dxa"/>
            <w:vMerge w:val="continue"/>
            <w:vAlign w:val="center"/>
          </w:tcPr>
          <w:p>
            <w:pPr>
              <w:jc w:val="center"/>
              <w:rPr>
                <w:rFonts w:ascii="宋体" w:hAnsi="宋体"/>
                <w:sz w:val="24"/>
              </w:rPr>
            </w:pPr>
          </w:p>
        </w:tc>
        <w:tc>
          <w:tcPr>
            <w:tcW w:w="1733" w:type="dxa"/>
            <w:vMerge w:val="continue"/>
            <w:vAlign w:val="center"/>
          </w:tcPr>
          <w:p>
            <w:pPr>
              <w:jc w:val="center"/>
              <w:rPr>
                <w:rFonts w:ascii="宋体" w:hAnsi="宋体"/>
                <w:sz w:val="24"/>
              </w:rPr>
            </w:pPr>
          </w:p>
        </w:tc>
        <w:tc>
          <w:tcPr>
            <w:tcW w:w="1938" w:type="dxa"/>
            <w:vAlign w:val="center"/>
          </w:tcPr>
          <w:p>
            <w:pPr>
              <w:jc w:val="center"/>
              <w:rPr>
                <w:rFonts w:ascii="宋体" w:hAnsi="宋体"/>
                <w:sz w:val="24"/>
              </w:rPr>
            </w:pPr>
            <w:r>
              <w:rPr>
                <w:rFonts w:hint="eastAsia" w:ascii="宋体" w:hAnsi="宋体"/>
                <w:sz w:val="24"/>
              </w:rPr>
              <w:t>知识产权业务</w:t>
            </w:r>
          </w:p>
          <w:p>
            <w:pPr>
              <w:jc w:val="center"/>
              <w:rPr>
                <w:rFonts w:ascii="宋体" w:hAnsi="宋体"/>
                <w:sz w:val="24"/>
              </w:rPr>
            </w:pPr>
            <w:r>
              <w:rPr>
                <w:rFonts w:hint="eastAsia" w:ascii="宋体" w:hAnsi="宋体"/>
                <w:sz w:val="24"/>
              </w:rPr>
              <w:t>合作经验（提供合作协议证明）</w:t>
            </w:r>
          </w:p>
          <w:p>
            <w:pPr>
              <w:jc w:val="center"/>
              <w:rPr>
                <w:rFonts w:ascii="宋体" w:hAnsi="宋体"/>
                <w:sz w:val="24"/>
              </w:rPr>
            </w:pPr>
            <w:r>
              <w:rPr>
                <w:rFonts w:ascii="宋体" w:hAnsi="宋体"/>
                <w:sz w:val="24"/>
              </w:rPr>
              <w:t>（</w:t>
            </w:r>
            <w:r>
              <w:rPr>
                <w:rFonts w:hint="eastAsia" w:ascii="宋体" w:hAnsi="宋体"/>
                <w:sz w:val="24"/>
              </w:rPr>
              <w:t>5分</w:t>
            </w:r>
            <w:r>
              <w:rPr>
                <w:rFonts w:ascii="宋体" w:hAnsi="宋体"/>
                <w:sz w:val="24"/>
              </w:rPr>
              <w:t>）</w:t>
            </w:r>
          </w:p>
        </w:tc>
        <w:tc>
          <w:tcPr>
            <w:tcW w:w="3128" w:type="dxa"/>
            <w:vAlign w:val="center"/>
          </w:tcPr>
          <w:p>
            <w:pPr>
              <w:jc w:val="center"/>
              <w:rPr>
                <w:rFonts w:ascii="宋体" w:hAnsi="宋体"/>
                <w:sz w:val="24"/>
              </w:rPr>
            </w:pPr>
            <w:r>
              <w:rPr>
                <w:rFonts w:hint="eastAsia" w:ascii="宋体" w:hAnsi="宋体"/>
                <w:sz w:val="24"/>
              </w:rPr>
              <w:t>与专业知识产权机构</w:t>
            </w:r>
          </w:p>
          <w:p>
            <w:pPr>
              <w:jc w:val="center"/>
              <w:rPr>
                <w:rFonts w:ascii="宋体" w:hAnsi="宋体"/>
                <w:sz w:val="24"/>
              </w:rPr>
            </w:pPr>
            <w:r>
              <w:rPr>
                <w:rFonts w:hint="eastAsia" w:ascii="宋体" w:hAnsi="宋体"/>
                <w:sz w:val="24"/>
              </w:rPr>
              <w:t>有合作：5分；</w:t>
            </w:r>
          </w:p>
          <w:p>
            <w:pPr>
              <w:jc w:val="center"/>
              <w:rPr>
                <w:rFonts w:ascii="宋体" w:hAnsi="宋体"/>
                <w:sz w:val="24"/>
              </w:rPr>
            </w:pPr>
            <w:r>
              <w:rPr>
                <w:rFonts w:hint="eastAsia" w:ascii="宋体" w:hAnsi="宋体"/>
                <w:sz w:val="24"/>
              </w:rPr>
              <w:t>与专业知识产权机构</w:t>
            </w:r>
          </w:p>
          <w:p>
            <w:pPr>
              <w:jc w:val="center"/>
              <w:rPr>
                <w:rFonts w:ascii="宋体" w:hAnsi="宋体"/>
                <w:sz w:val="24"/>
              </w:rPr>
            </w:pPr>
            <w:r>
              <w:rPr>
                <w:rFonts w:hint="eastAsia" w:ascii="宋体" w:hAnsi="宋体"/>
                <w:sz w:val="24"/>
              </w:rPr>
              <w:t>没有合作：3分及以下。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申报机构基金管理情况</w:t>
            </w:r>
          </w:p>
          <w:p>
            <w:pPr>
              <w:jc w:val="center"/>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分）</w:t>
            </w:r>
          </w:p>
        </w:tc>
        <w:tc>
          <w:tcPr>
            <w:tcW w:w="1938" w:type="dxa"/>
            <w:vAlign w:val="center"/>
          </w:tcPr>
          <w:p>
            <w:pPr>
              <w:jc w:val="center"/>
              <w:rPr>
                <w:rFonts w:ascii="宋体" w:hAnsi="宋体"/>
                <w:sz w:val="24"/>
              </w:rPr>
            </w:pPr>
          </w:p>
          <w:p>
            <w:pPr>
              <w:jc w:val="center"/>
              <w:rPr>
                <w:rFonts w:ascii="宋体" w:hAnsi="宋体"/>
                <w:sz w:val="24"/>
              </w:rPr>
            </w:pPr>
            <w:r>
              <w:rPr>
                <w:rFonts w:hint="eastAsia" w:ascii="宋体" w:hAnsi="宋体"/>
                <w:sz w:val="24"/>
              </w:rPr>
              <w:t>资产管理规模（</w:t>
            </w:r>
            <w:r>
              <w:rPr>
                <w:rFonts w:ascii="宋体" w:hAnsi="宋体"/>
                <w:sz w:val="24"/>
              </w:rPr>
              <w:t>5</w:t>
            </w:r>
            <w:r>
              <w:rPr>
                <w:rFonts w:hint="eastAsia" w:ascii="宋体" w:hAnsi="宋体"/>
                <w:sz w:val="24"/>
              </w:rPr>
              <w:t>分）</w:t>
            </w:r>
          </w:p>
        </w:tc>
        <w:tc>
          <w:tcPr>
            <w:tcW w:w="3128" w:type="dxa"/>
            <w:vAlign w:val="center"/>
          </w:tcPr>
          <w:p>
            <w:pPr>
              <w:jc w:val="center"/>
              <w:rPr>
                <w:rFonts w:ascii="宋体" w:hAnsi="宋体"/>
                <w:sz w:val="24"/>
              </w:rPr>
            </w:pPr>
            <w:r>
              <w:rPr>
                <w:rFonts w:hint="eastAsia" w:ascii="宋体" w:hAnsi="宋体"/>
                <w:sz w:val="24"/>
              </w:rPr>
              <w:t>500亿以上：</w:t>
            </w:r>
            <w:r>
              <w:rPr>
                <w:rFonts w:ascii="宋体" w:hAnsi="宋体"/>
                <w:sz w:val="24"/>
              </w:rPr>
              <w:t>5</w:t>
            </w:r>
            <w:r>
              <w:rPr>
                <w:rFonts w:hint="eastAsia" w:ascii="宋体" w:hAnsi="宋体"/>
                <w:sz w:val="24"/>
              </w:rPr>
              <w:t>分；</w:t>
            </w:r>
          </w:p>
          <w:p>
            <w:pPr>
              <w:jc w:val="center"/>
              <w:rPr>
                <w:rFonts w:ascii="宋体" w:hAnsi="宋体"/>
                <w:sz w:val="24"/>
              </w:rPr>
            </w:pPr>
            <w:r>
              <w:rPr>
                <w:rFonts w:hint="eastAsia" w:ascii="宋体" w:hAnsi="宋体"/>
                <w:sz w:val="24"/>
              </w:rPr>
              <w:t>100亿-500亿：</w:t>
            </w:r>
            <w:r>
              <w:rPr>
                <w:rFonts w:ascii="宋体" w:hAnsi="宋体"/>
                <w:sz w:val="24"/>
              </w:rPr>
              <w:t>4</w:t>
            </w:r>
            <w:r>
              <w:rPr>
                <w:rFonts w:hint="eastAsia" w:ascii="宋体" w:hAnsi="宋体"/>
                <w:sz w:val="24"/>
              </w:rPr>
              <w:t>分；</w:t>
            </w:r>
          </w:p>
          <w:p>
            <w:pPr>
              <w:jc w:val="center"/>
              <w:rPr>
                <w:rFonts w:ascii="宋体" w:hAnsi="宋体"/>
                <w:sz w:val="24"/>
              </w:rPr>
            </w:pPr>
            <w:r>
              <w:rPr>
                <w:rFonts w:hint="eastAsia" w:ascii="宋体" w:hAnsi="宋体"/>
                <w:sz w:val="24"/>
              </w:rPr>
              <w:t>100亿以下：</w:t>
            </w:r>
            <w:r>
              <w:rPr>
                <w:rFonts w:ascii="宋体" w:hAnsi="宋体"/>
                <w:sz w:val="24"/>
              </w:rPr>
              <w:t>3</w:t>
            </w:r>
            <w:r>
              <w:rPr>
                <w:rFonts w:hint="eastAsia" w:ascii="宋体" w:hAnsi="宋体"/>
                <w:sz w:val="24"/>
              </w:rPr>
              <w:t>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vMerge w:val="continue"/>
            <w:vAlign w:val="center"/>
          </w:tcPr>
          <w:p>
            <w:pPr>
              <w:jc w:val="center"/>
              <w:rPr>
                <w:rFonts w:ascii="宋体" w:hAnsi="宋体"/>
                <w:sz w:val="24"/>
              </w:rPr>
            </w:pPr>
          </w:p>
        </w:tc>
        <w:tc>
          <w:tcPr>
            <w:tcW w:w="1733" w:type="dxa"/>
            <w:vMerge w:val="restart"/>
            <w:vAlign w:val="center"/>
          </w:tcPr>
          <w:p>
            <w:pPr>
              <w:jc w:val="center"/>
              <w:rPr>
                <w:rFonts w:ascii="宋体" w:hAnsi="宋体"/>
                <w:sz w:val="24"/>
              </w:rPr>
            </w:pPr>
            <w:r>
              <w:rPr>
                <w:rFonts w:hint="eastAsia" w:ascii="宋体" w:hAnsi="宋体"/>
                <w:sz w:val="24"/>
              </w:rPr>
              <w:t>基金管理资质和团队（15分）</w:t>
            </w:r>
          </w:p>
        </w:tc>
        <w:tc>
          <w:tcPr>
            <w:tcW w:w="1938" w:type="dxa"/>
            <w:vAlign w:val="center"/>
          </w:tcPr>
          <w:p>
            <w:pPr>
              <w:jc w:val="center"/>
              <w:rPr>
                <w:rFonts w:ascii="宋体" w:hAnsi="宋体"/>
                <w:sz w:val="24"/>
              </w:rPr>
            </w:pPr>
            <w:r>
              <w:rPr>
                <w:rFonts w:hint="eastAsia" w:ascii="宋体" w:hAnsi="宋体"/>
                <w:sz w:val="24"/>
              </w:rPr>
              <w:t>基金管理资质（提供证明）</w:t>
            </w:r>
          </w:p>
          <w:p>
            <w:pPr>
              <w:jc w:val="center"/>
              <w:rPr>
                <w:rFonts w:ascii="宋体" w:hAnsi="宋体"/>
                <w:sz w:val="24"/>
              </w:rPr>
            </w:pPr>
            <w:r>
              <w:rPr>
                <w:rFonts w:hint="eastAsia" w:ascii="宋体" w:hAnsi="宋体"/>
                <w:sz w:val="24"/>
              </w:rPr>
              <w:t>（10分）</w:t>
            </w:r>
          </w:p>
        </w:tc>
        <w:tc>
          <w:tcPr>
            <w:tcW w:w="3128" w:type="dxa"/>
            <w:vAlign w:val="center"/>
          </w:tcPr>
          <w:p>
            <w:pPr>
              <w:jc w:val="center"/>
              <w:rPr>
                <w:rFonts w:ascii="宋体" w:hAnsi="宋体"/>
                <w:sz w:val="24"/>
              </w:rPr>
            </w:pPr>
            <w:bookmarkStart w:id="3" w:name="_Hlk19398898"/>
            <w:r>
              <w:rPr>
                <w:rFonts w:hint="eastAsia" w:ascii="宋体" w:hAnsi="宋体"/>
                <w:sz w:val="24"/>
              </w:rPr>
              <w:t>具有证监会批准开展特定客户资产管理计划的持牌金融机构资质</w:t>
            </w:r>
            <w:bookmarkEnd w:id="3"/>
            <w:r>
              <w:rPr>
                <w:rFonts w:hint="eastAsia" w:ascii="宋体" w:hAnsi="宋体"/>
                <w:sz w:val="24"/>
              </w:rPr>
              <w:t>：10分；</w:t>
            </w:r>
          </w:p>
          <w:p>
            <w:r>
              <w:rPr>
                <w:rFonts w:hint="eastAsia" w:ascii="宋体" w:hAnsi="宋体"/>
                <w:sz w:val="24"/>
              </w:rPr>
              <w:t>没有证监会批准开展特定客户资产管理计划的持牌金融机构资质：3分及以下。</w:t>
            </w:r>
          </w:p>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1560" w:type="dxa"/>
            <w:vMerge w:val="continue"/>
            <w:vAlign w:val="center"/>
          </w:tcPr>
          <w:p>
            <w:pPr>
              <w:jc w:val="center"/>
              <w:rPr>
                <w:rFonts w:ascii="宋体" w:hAnsi="宋体"/>
                <w:sz w:val="24"/>
              </w:rPr>
            </w:pPr>
          </w:p>
        </w:tc>
        <w:tc>
          <w:tcPr>
            <w:tcW w:w="1733" w:type="dxa"/>
            <w:vMerge w:val="continue"/>
            <w:vAlign w:val="center"/>
          </w:tcPr>
          <w:p>
            <w:pPr>
              <w:jc w:val="center"/>
              <w:rPr>
                <w:rFonts w:ascii="宋体" w:hAnsi="宋体"/>
                <w:sz w:val="24"/>
              </w:rPr>
            </w:pPr>
          </w:p>
        </w:tc>
        <w:tc>
          <w:tcPr>
            <w:tcW w:w="1938" w:type="dxa"/>
            <w:vAlign w:val="center"/>
          </w:tcPr>
          <w:p>
            <w:pPr>
              <w:jc w:val="center"/>
              <w:rPr>
                <w:rFonts w:ascii="宋体" w:hAnsi="宋体"/>
                <w:sz w:val="24"/>
              </w:rPr>
            </w:pPr>
            <w:r>
              <w:rPr>
                <w:rFonts w:hint="eastAsia" w:ascii="宋体" w:hAnsi="宋体"/>
                <w:sz w:val="24"/>
              </w:rPr>
              <w:t>团队资历与能力</w:t>
            </w:r>
          </w:p>
          <w:p>
            <w:pPr>
              <w:jc w:val="center"/>
              <w:rPr>
                <w:rFonts w:ascii="宋体" w:hAnsi="宋体"/>
                <w:sz w:val="24"/>
              </w:rPr>
            </w:pPr>
            <w:r>
              <w:rPr>
                <w:rFonts w:hint="eastAsia" w:ascii="宋体" w:hAnsi="宋体"/>
                <w:sz w:val="24"/>
              </w:rPr>
              <w:t>（5分）</w:t>
            </w:r>
          </w:p>
        </w:tc>
        <w:tc>
          <w:tcPr>
            <w:tcW w:w="3128" w:type="dxa"/>
            <w:vAlign w:val="center"/>
          </w:tcPr>
          <w:p>
            <w:pPr>
              <w:rPr>
                <w:rFonts w:ascii="宋体" w:hAnsi="宋体"/>
                <w:sz w:val="24"/>
              </w:rPr>
            </w:pPr>
            <w:r>
              <w:rPr>
                <w:rFonts w:hint="eastAsia" w:ascii="宋体" w:hAnsi="宋体"/>
                <w:sz w:val="24"/>
              </w:rPr>
              <w:t>1、提供管理团队主要成员详细的背景与投资项目资历：</w:t>
            </w:r>
          </w:p>
          <w:p>
            <w:pPr>
              <w:rPr>
                <w:rFonts w:ascii="宋体" w:hAnsi="宋体"/>
                <w:sz w:val="24"/>
              </w:rPr>
            </w:pPr>
            <w:r>
              <w:rPr>
                <w:rFonts w:hint="eastAsia" w:ascii="宋体" w:hAnsi="宋体"/>
                <w:sz w:val="24"/>
              </w:rPr>
              <w:t>（5分）</w:t>
            </w:r>
          </w:p>
          <w:p>
            <w:pPr>
              <w:rPr>
                <w:rFonts w:ascii="宋体" w:hAnsi="宋体"/>
                <w:sz w:val="24"/>
              </w:rPr>
            </w:pPr>
            <w:r>
              <w:rPr>
                <w:rFonts w:hint="eastAsia" w:ascii="宋体" w:hAnsi="宋体"/>
                <w:sz w:val="24"/>
              </w:rPr>
              <w:t>2、有主要成员但未能提供详细背景和项目资历资料：</w:t>
            </w:r>
          </w:p>
          <w:p>
            <w:pPr>
              <w:rPr>
                <w:rFonts w:ascii="宋体" w:hAnsi="宋体"/>
                <w:sz w:val="24"/>
              </w:rPr>
            </w:pPr>
            <w:r>
              <w:rPr>
                <w:rFonts w:hint="eastAsia" w:ascii="宋体" w:hAnsi="宋体"/>
                <w:sz w:val="24"/>
              </w:rPr>
              <w:t>（3分或）</w:t>
            </w:r>
          </w:p>
          <w:p>
            <w:pPr>
              <w:rPr>
                <w:rFonts w:ascii="宋体" w:hAnsi="宋体"/>
                <w:sz w:val="24"/>
              </w:rPr>
            </w:pPr>
            <w:r>
              <w:rPr>
                <w:rFonts w:hint="eastAsia" w:ascii="宋体" w:hAnsi="宋体"/>
                <w:sz w:val="24"/>
              </w:rPr>
              <w:t>3、没有提供团队资料：</w:t>
            </w:r>
          </w:p>
          <w:p>
            <w:pPr>
              <w:jc w:val="both"/>
              <w:rPr>
                <w:rFonts w:hint="eastAsia" w:ascii="宋体" w:hAnsi="宋体"/>
                <w:sz w:val="24"/>
              </w:rPr>
            </w:pP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1560" w:type="dxa"/>
            <w:vMerge w:val="restart"/>
            <w:vAlign w:val="center"/>
          </w:tcPr>
          <w:p>
            <w:pPr>
              <w:jc w:val="center"/>
              <w:rPr>
                <w:rFonts w:ascii="宋体" w:hAnsi="宋体"/>
                <w:b/>
                <w:sz w:val="24"/>
              </w:rPr>
            </w:pPr>
            <w:r>
              <w:rPr>
                <w:rFonts w:hint="eastAsia" w:ascii="宋体" w:hAnsi="宋体"/>
                <w:b/>
                <w:sz w:val="24"/>
              </w:rPr>
              <w:t>基金运营和管理规范性与科学性</w:t>
            </w:r>
          </w:p>
          <w:p>
            <w:pPr>
              <w:jc w:val="center"/>
              <w:rPr>
                <w:rFonts w:ascii="宋体" w:hAnsi="宋体"/>
                <w:sz w:val="24"/>
              </w:rPr>
            </w:pPr>
            <w:r>
              <w:rPr>
                <w:rFonts w:hint="eastAsia" w:ascii="宋体" w:hAnsi="宋体"/>
                <w:b/>
                <w:sz w:val="24"/>
              </w:rPr>
              <w:t>（45分）</w:t>
            </w:r>
          </w:p>
        </w:tc>
        <w:tc>
          <w:tcPr>
            <w:tcW w:w="1733" w:type="dxa"/>
            <w:vAlign w:val="center"/>
          </w:tcPr>
          <w:p>
            <w:pPr>
              <w:jc w:val="center"/>
              <w:rPr>
                <w:rFonts w:ascii="宋体" w:hAnsi="宋体"/>
                <w:sz w:val="24"/>
              </w:rPr>
            </w:pPr>
            <w:r>
              <w:rPr>
                <w:rFonts w:hint="eastAsia" w:ascii="宋体" w:hAnsi="宋体"/>
                <w:sz w:val="24"/>
              </w:rPr>
              <w:t>可配套资金规模（10分）</w:t>
            </w:r>
          </w:p>
        </w:tc>
        <w:tc>
          <w:tcPr>
            <w:tcW w:w="1938" w:type="dxa"/>
            <w:vAlign w:val="center"/>
          </w:tcPr>
          <w:p>
            <w:pPr>
              <w:jc w:val="center"/>
              <w:rPr>
                <w:rFonts w:ascii="宋体" w:hAnsi="宋体"/>
                <w:sz w:val="24"/>
              </w:rPr>
            </w:pPr>
            <w:r>
              <w:rPr>
                <w:rFonts w:hint="eastAsia" w:ascii="宋体" w:hAnsi="宋体"/>
                <w:sz w:val="24"/>
              </w:rPr>
              <w:t>除财政拨付资金以外,申报机构可以组织（募集）配套参与基金的规模（10分）</w:t>
            </w:r>
          </w:p>
        </w:tc>
        <w:tc>
          <w:tcPr>
            <w:tcW w:w="3128" w:type="dxa"/>
            <w:vAlign w:val="center"/>
          </w:tcPr>
          <w:p>
            <w:pPr>
              <w:jc w:val="center"/>
              <w:rPr>
                <w:rFonts w:ascii="宋体" w:hAnsi="宋体"/>
                <w:sz w:val="24"/>
              </w:rPr>
            </w:pPr>
            <w:r>
              <w:rPr>
                <w:rFonts w:ascii="宋体" w:hAnsi="宋体"/>
                <w:sz w:val="24"/>
              </w:rPr>
              <w:t>1</w:t>
            </w:r>
            <w:r>
              <w:rPr>
                <w:rFonts w:hint="eastAsia" w:ascii="宋体" w:hAnsi="宋体"/>
                <w:sz w:val="24"/>
              </w:rPr>
              <w:t>亿以上：10分；</w:t>
            </w:r>
          </w:p>
          <w:p>
            <w:pPr>
              <w:jc w:val="center"/>
              <w:rPr>
                <w:rFonts w:ascii="宋体" w:hAnsi="宋体"/>
                <w:sz w:val="24"/>
              </w:rPr>
            </w:pPr>
            <w:r>
              <w:rPr>
                <w:rFonts w:ascii="宋体" w:hAnsi="宋体"/>
                <w:sz w:val="24"/>
              </w:rPr>
              <w:t>0</w:t>
            </w:r>
            <w:r>
              <w:rPr>
                <w:rFonts w:hint="eastAsia" w:ascii="宋体" w:hAnsi="宋体"/>
                <w:sz w:val="24"/>
              </w:rPr>
              <w:t>.5亿-</w:t>
            </w:r>
            <w:r>
              <w:rPr>
                <w:rFonts w:ascii="宋体" w:hAnsi="宋体"/>
                <w:sz w:val="24"/>
              </w:rPr>
              <w:t>1</w:t>
            </w:r>
            <w:r>
              <w:rPr>
                <w:rFonts w:hint="eastAsia" w:ascii="宋体" w:hAnsi="宋体"/>
                <w:sz w:val="24"/>
              </w:rPr>
              <w:t>亿：</w:t>
            </w:r>
            <w:r>
              <w:rPr>
                <w:rFonts w:ascii="宋体" w:hAnsi="宋体"/>
                <w:sz w:val="24"/>
              </w:rPr>
              <w:t>6</w:t>
            </w:r>
            <w:r>
              <w:rPr>
                <w:rFonts w:hint="eastAsia" w:ascii="宋体" w:hAnsi="宋体"/>
                <w:sz w:val="24"/>
              </w:rPr>
              <w:t>分；</w:t>
            </w:r>
          </w:p>
          <w:p>
            <w:pPr>
              <w:jc w:val="center"/>
              <w:rPr>
                <w:rFonts w:ascii="宋体" w:hAnsi="宋体"/>
                <w:sz w:val="24"/>
              </w:rPr>
            </w:pPr>
            <w:r>
              <w:rPr>
                <w:rFonts w:ascii="宋体" w:hAnsi="宋体"/>
                <w:sz w:val="24"/>
              </w:rPr>
              <w:t>0</w:t>
            </w:r>
            <w:r>
              <w:rPr>
                <w:rFonts w:hint="eastAsia" w:ascii="宋体" w:hAnsi="宋体"/>
                <w:sz w:val="24"/>
              </w:rPr>
              <w:t>.</w:t>
            </w:r>
            <w:r>
              <w:rPr>
                <w:rFonts w:ascii="宋体" w:hAnsi="宋体"/>
                <w:sz w:val="24"/>
              </w:rPr>
              <w:t>5</w:t>
            </w:r>
            <w:r>
              <w:rPr>
                <w:rFonts w:hint="eastAsia" w:ascii="宋体" w:hAnsi="宋体"/>
                <w:sz w:val="24"/>
              </w:rPr>
              <w:t>亿元以下：</w:t>
            </w:r>
            <w:r>
              <w:rPr>
                <w:rFonts w:ascii="宋体" w:hAnsi="宋体"/>
                <w:sz w:val="24"/>
              </w:rPr>
              <w:t>3</w:t>
            </w:r>
            <w:r>
              <w:rPr>
                <w:rFonts w:hint="eastAsia" w:ascii="宋体" w:hAnsi="宋体"/>
                <w:sz w:val="24"/>
              </w:rPr>
              <w:t>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ascii="宋体" w:hAnsi="宋体"/>
                <w:sz w:val="24"/>
              </w:rPr>
              <w:t>运营基金实施方案的全面性与合理性</w:t>
            </w:r>
          </w:p>
          <w:p>
            <w:pPr>
              <w:jc w:val="center"/>
              <w:rPr>
                <w:rFonts w:ascii="宋体" w:hAnsi="宋体"/>
                <w:sz w:val="24"/>
              </w:rPr>
            </w:pPr>
            <w:r>
              <w:rPr>
                <w:rFonts w:ascii="宋体" w:hAnsi="宋体"/>
                <w:sz w:val="24"/>
              </w:rPr>
              <w:t>（</w:t>
            </w:r>
            <w:r>
              <w:rPr>
                <w:rFonts w:hint="eastAsia" w:ascii="宋体" w:hAnsi="宋体"/>
                <w:sz w:val="24"/>
              </w:rPr>
              <w:t>1</w:t>
            </w:r>
            <w:r>
              <w:rPr>
                <w:rFonts w:ascii="宋体" w:hAnsi="宋体"/>
                <w:sz w:val="24"/>
              </w:rPr>
              <w:t>0分）</w:t>
            </w:r>
          </w:p>
        </w:tc>
        <w:tc>
          <w:tcPr>
            <w:tcW w:w="1938" w:type="dxa"/>
            <w:vAlign w:val="center"/>
          </w:tcPr>
          <w:p>
            <w:pPr>
              <w:jc w:val="center"/>
              <w:rPr>
                <w:rFonts w:ascii="宋体" w:hAnsi="宋体"/>
                <w:sz w:val="24"/>
              </w:rPr>
            </w:pPr>
            <w:r>
              <w:rPr>
                <w:rFonts w:ascii="宋体" w:hAnsi="宋体"/>
                <w:sz w:val="24"/>
              </w:rPr>
              <w:t>运营基金实施方案</w:t>
            </w:r>
            <w:r>
              <w:rPr>
                <w:rFonts w:hint="eastAsia" w:ascii="宋体" w:hAnsi="宋体"/>
                <w:sz w:val="24"/>
                <w:lang w:eastAsia="zh-CN"/>
              </w:rPr>
              <w:t>中</w:t>
            </w:r>
            <w:r>
              <w:rPr>
                <w:rFonts w:hint="eastAsia" w:ascii="宋体" w:hAnsi="宋体"/>
                <w:sz w:val="24"/>
              </w:rPr>
              <w:t>基金管理组织架构、业务流程及管理、投资决策流程管理、风险控制流程管理以及相应附件细则</w:t>
            </w:r>
            <w:r>
              <w:rPr>
                <w:rFonts w:ascii="宋体" w:hAnsi="宋体"/>
                <w:sz w:val="24"/>
              </w:rPr>
              <w:t>全面性与合理性</w:t>
            </w:r>
            <w:r>
              <w:rPr>
                <w:rFonts w:hint="eastAsia" w:ascii="宋体" w:hAnsi="宋体"/>
                <w:sz w:val="24"/>
                <w:lang w:eastAsia="zh-CN"/>
              </w:rPr>
              <w:t>（</w:t>
            </w:r>
            <w:r>
              <w:rPr>
                <w:rFonts w:ascii="宋体" w:hAnsi="宋体"/>
                <w:sz w:val="24"/>
              </w:rPr>
              <w:t>10分</w:t>
            </w:r>
            <w:r>
              <w:rPr>
                <w:rFonts w:hint="eastAsia" w:ascii="宋体" w:hAnsi="宋体"/>
                <w:sz w:val="24"/>
                <w:lang w:eastAsia="zh-CN"/>
              </w:rPr>
              <w:t>）</w:t>
            </w:r>
          </w:p>
        </w:tc>
        <w:tc>
          <w:tcPr>
            <w:tcW w:w="3128" w:type="dxa"/>
            <w:vAlign w:val="center"/>
          </w:tcPr>
          <w:p>
            <w:pPr>
              <w:rPr>
                <w:rFonts w:hint="eastAsia" w:ascii="宋体" w:hAnsi="宋体"/>
                <w:sz w:val="24"/>
              </w:rPr>
            </w:pPr>
            <w:r>
              <w:rPr>
                <w:rFonts w:hint="eastAsia" w:ascii="宋体" w:hAnsi="宋体"/>
                <w:sz w:val="24"/>
              </w:rPr>
              <w:t>提交的</w:t>
            </w:r>
            <w:r>
              <w:rPr>
                <w:rFonts w:hint="eastAsia" w:ascii="宋体" w:hAnsi="宋体"/>
                <w:sz w:val="24"/>
                <w:lang w:eastAsia="zh-CN"/>
              </w:rPr>
              <w:t>实施方案</w:t>
            </w:r>
            <w:r>
              <w:rPr>
                <w:rFonts w:hint="eastAsia" w:ascii="宋体" w:hAnsi="宋体"/>
                <w:sz w:val="24"/>
              </w:rPr>
              <w:t>必须</w:t>
            </w:r>
            <w:r>
              <w:rPr>
                <w:rFonts w:hint="eastAsia" w:ascii="宋体" w:hAnsi="宋体"/>
                <w:sz w:val="24"/>
                <w:lang w:eastAsia="zh-CN"/>
              </w:rPr>
              <w:t>全面合理</w:t>
            </w:r>
            <w:r>
              <w:rPr>
                <w:rFonts w:hint="eastAsia" w:ascii="宋体" w:hAnsi="宋体"/>
                <w:sz w:val="24"/>
              </w:rPr>
              <w:t>：</w:t>
            </w:r>
            <w:r>
              <w:rPr>
                <w:rFonts w:hint="eastAsia" w:ascii="宋体" w:hAnsi="宋体"/>
                <w:sz w:val="24"/>
                <w:lang w:val="en-US" w:eastAsia="zh-CN"/>
              </w:rPr>
              <w:t>1.</w:t>
            </w:r>
            <w:r>
              <w:rPr>
                <w:rFonts w:hint="eastAsia" w:ascii="宋体" w:hAnsi="宋体"/>
                <w:sz w:val="24"/>
              </w:rPr>
              <w:t>基金管理组织架构</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业务流程及管理</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投资决策流程管理</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风险控制流程管理以及</w:t>
            </w:r>
            <w:r>
              <w:rPr>
                <w:rFonts w:hint="eastAsia" w:ascii="宋体" w:hAnsi="宋体"/>
                <w:sz w:val="24"/>
                <w:lang w:val="en-US" w:eastAsia="zh-CN"/>
              </w:rPr>
              <w:t>5.</w:t>
            </w:r>
            <w:r>
              <w:rPr>
                <w:rFonts w:hint="eastAsia" w:ascii="宋体" w:hAnsi="宋体"/>
                <w:sz w:val="24"/>
              </w:rPr>
              <w:t>相应附件细则。</w:t>
            </w:r>
          </w:p>
          <w:p>
            <w:pPr>
              <w:rPr>
                <w:rFonts w:hint="eastAsia" w:ascii="宋体" w:hAnsi="宋体" w:eastAsia="宋体"/>
                <w:sz w:val="24"/>
                <w:lang w:eastAsia="zh-CN"/>
              </w:rPr>
            </w:pPr>
            <w:r>
              <w:rPr>
                <w:rFonts w:hint="eastAsia" w:ascii="宋体" w:hAnsi="宋体"/>
                <w:sz w:val="24"/>
                <w:lang w:eastAsia="zh-CN"/>
              </w:rPr>
              <w:t>以上每项内容都包含且合理的，得</w:t>
            </w:r>
            <w:r>
              <w:rPr>
                <w:rFonts w:hint="eastAsia" w:ascii="宋体" w:hAnsi="宋体"/>
                <w:sz w:val="24"/>
                <w:lang w:val="en-US" w:eastAsia="zh-CN"/>
              </w:rPr>
              <w:t>2分，不包含或不合理的，得0分。满分10分。</w:t>
            </w:r>
          </w:p>
          <w:p>
            <w:pPr>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与知识产权机构合作协议合理性</w:t>
            </w:r>
          </w:p>
          <w:p>
            <w:pPr>
              <w:jc w:val="center"/>
              <w:rPr>
                <w:rFonts w:ascii="宋体" w:hAnsi="宋体"/>
                <w:sz w:val="24"/>
              </w:rPr>
            </w:pPr>
            <w:r>
              <w:rPr>
                <w:rFonts w:ascii="宋体" w:hAnsi="宋体"/>
                <w:sz w:val="24"/>
              </w:rPr>
              <w:t>（</w:t>
            </w:r>
            <w:r>
              <w:rPr>
                <w:rFonts w:hint="eastAsia" w:ascii="宋体" w:hAnsi="宋体"/>
                <w:sz w:val="24"/>
              </w:rPr>
              <w:t>5分）</w:t>
            </w:r>
          </w:p>
        </w:tc>
        <w:tc>
          <w:tcPr>
            <w:tcW w:w="1938" w:type="dxa"/>
            <w:vAlign w:val="center"/>
          </w:tcPr>
          <w:p>
            <w:pPr>
              <w:jc w:val="center"/>
              <w:rPr>
                <w:rFonts w:ascii="宋体" w:hAnsi="宋体"/>
                <w:sz w:val="24"/>
              </w:rPr>
            </w:pPr>
            <w:r>
              <w:rPr>
                <w:rFonts w:hint="eastAsia" w:ascii="宋体" w:hAnsi="宋体"/>
                <w:sz w:val="24"/>
              </w:rPr>
              <w:t>知识产权合作机构的工作职责及参与项目的具体</w:t>
            </w:r>
            <w:r>
              <w:rPr>
                <w:rFonts w:hint="eastAsia" w:ascii="宋体" w:hAnsi="宋体"/>
                <w:sz w:val="24"/>
                <w:lang w:eastAsia="zh-CN"/>
              </w:rPr>
              <w:t>工作描述的完整性及合理性（</w:t>
            </w:r>
            <w:r>
              <w:rPr>
                <w:rFonts w:hint="eastAsia" w:ascii="宋体" w:hAnsi="宋体"/>
                <w:sz w:val="24"/>
                <w:lang w:val="en-US" w:eastAsia="zh-CN"/>
              </w:rPr>
              <w:t>5分</w:t>
            </w:r>
            <w:r>
              <w:rPr>
                <w:rFonts w:hint="eastAsia" w:ascii="宋体" w:hAnsi="宋体"/>
                <w:sz w:val="24"/>
                <w:lang w:eastAsia="zh-CN"/>
              </w:rPr>
              <w:t>）</w:t>
            </w:r>
          </w:p>
        </w:tc>
        <w:tc>
          <w:tcPr>
            <w:tcW w:w="3128" w:type="dxa"/>
            <w:vAlign w:val="center"/>
          </w:tcPr>
          <w:p>
            <w:pPr>
              <w:rPr>
                <w:rFonts w:ascii="宋体" w:hAnsi="宋体"/>
                <w:sz w:val="24"/>
              </w:rPr>
            </w:pPr>
            <w:r>
              <w:rPr>
                <w:rFonts w:hint="eastAsia" w:ascii="宋体" w:hAnsi="宋体"/>
                <w:sz w:val="24"/>
              </w:rPr>
              <w:t>1、</w:t>
            </w:r>
            <w:r>
              <w:rPr>
                <w:rFonts w:hint="eastAsia" w:ascii="宋体" w:hAnsi="宋体"/>
                <w:sz w:val="24"/>
                <w:lang w:eastAsia="zh-CN"/>
              </w:rPr>
              <w:t>有</w:t>
            </w:r>
            <w:r>
              <w:rPr>
                <w:rFonts w:hint="eastAsia" w:ascii="宋体" w:hAnsi="宋体"/>
                <w:sz w:val="24"/>
              </w:rPr>
              <w:t>知识产权合作机构的工作职责及参与项目的具体工作描述</w:t>
            </w:r>
            <w:r>
              <w:rPr>
                <w:rFonts w:hint="eastAsia" w:ascii="宋体" w:hAnsi="宋体"/>
                <w:sz w:val="24"/>
                <w:lang w:eastAsia="zh-CN"/>
              </w:rPr>
              <w:t>，且内容合理的：</w:t>
            </w:r>
            <w:r>
              <w:rPr>
                <w:rFonts w:hint="eastAsia" w:ascii="宋体" w:hAnsi="宋体"/>
                <w:sz w:val="24"/>
              </w:rPr>
              <w:t>（5分）</w:t>
            </w:r>
            <w:r>
              <w:rPr>
                <w:rFonts w:hint="eastAsia" w:ascii="宋体" w:hAnsi="宋体"/>
                <w:sz w:val="24"/>
                <w:lang w:eastAsia="zh-CN"/>
              </w:rPr>
              <w:t>；</w:t>
            </w:r>
          </w:p>
          <w:p>
            <w:pPr>
              <w:rPr>
                <w:rFonts w:hint="eastAsia" w:ascii="宋体" w:hAnsi="宋体"/>
                <w:sz w:val="24"/>
                <w:lang w:eastAsia="zh-CN"/>
              </w:rPr>
            </w:pPr>
            <w:r>
              <w:rPr>
                <w:rFonts w:ascii="宋体" w:hAnsi="宋体"/>
                <w:sz w:val="24"/>
              </w:rPr>
              <w:t>2</w:t>
            </w:r>
            <w:r>
              <w:rPr>
                <w:rFonts w:hint="eastAsia" w:ascii="宋体" w:hAnsi="宋体"/>
                <w:sz w:val="24"/>
              </w:rPr>
              <w:t>、</w:t>
            </w:r>
            <w:r>
              <w:rPr>
                <w:rFonts w:hint="eastAsia" w:ascii="宋体" w:hAnsi="宋体"/>
                <w:sz w:val="24"/>
                <w:lang w:eastAsia="zh-CN"/>
              </w:rPr>
              <w:t>有</w:t>
            </w:r>
            <w:r>
              <w:rPr>
                <w:rFonts w:hint="eastAsia" w:ascii="宋体" w:hAnsi="宋体"/>
                <w:sz w:val="24"/>
              </w:rPr>
              <w:t>知识产权合作机构的工作职责及参与项目的具体工作描述</w:t>
            </w:r>
            <w:r>
              <w:rPr>
                <w:rFonts w:hint="eastAsia" w:ascii="宋体" w:hAnsi="宋体"/>
                <w:sz w:val="24"/>
                <w:lang w:eastAsia="zh-CN"/>
              </w:rPr>
              <w:t>，但内容欠缺合理性的：</w:t>
            </w:r>
            <w:r>
              <w:rPr>
                <w:rFonts w:hint="eastAsia" w:ascii="宋体" w:hAnsi="宋体"/>
                <w:sz w:val="24"/>
              </w:rPr>
              <w:t>（3分）</w:t>
            </w:r>
            <w:r>
              <w:rPr>
                <w:rFonts w:hint="eastAsia" w:ascii="宋体" w:hAnsi="宋体"/>
                <w:sz w:val="24"/>
                <w:lang w:eastAsia="zh-CN"/>
              </w:rPr>
              <w:t>；</w:t>
            </w:r>
          </w:p>
          <w:p>
            <w:pPr>
              <w:jc w:val="both"/>
              <w:rPr>
                <w:rFonts w:hint="eastAsia" w:ascii="宋体" w:hAnsi="宋体"/>
                <w:sz w:val="24"/>
              </w:rPr>
            </w:pPr>
            <w:r>
              <w:rPr>
                <w:rFonts w:ascii="宋体" w:hAnsi="宋体"/>
                <w:sz w:val="24"/>
              </w:rPr>
              <w:t>3</w:t>
            </w:r>
            <w:r>
              <w:rPr>
                <w:rFonts w:hint="eastAsia" w:ascii="宋体" w:hAnsi="宋体"/>
                <w:sz w:val="24"/>
              </w:rPr>
              <w:t>、</w:t>
            </w:r>
            <w:r>
              <w:rPr>
                <w:rFonts w:hint="eastAsia" w:ascii="宋体" w:hAnsi="宋体"/>
                <w:sz w:val="24"/>
                <w:lang w:eastAsia="zh-CN"/>
              </w:rPr>
              <w:t>有</w:t>
            </w:r>
            <w:r>
              <w:rPr>
                <w:rFonts w:hint="eastAsia" w:ascii="宋体" w:hAnsi="宋体"/>
                <w:sz w:val="24"/>
              </w:rPr>
              <w:t>知识产权合作机构的工作职责及参与项目的具体工作描述</w:t>
            </w:r>
            <w:r>
              <w:rPr>
                <w:rFonts w:hint="eastAsia" w:ascii="宋体" w:hAnsi="宋体"/>
                <w:sz w:val="24"/>
                <w:lang w:eastAsia="zh-CN"/>
              </w:rPr>
              <w:t>不明确的：</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实施方案中投资项目审核的科学性</w:t>
            </w:r>
          </w:p>
          <w:p>
            <w:pPr>
              <w:jc w:val="center"/>
              <w:rPr>
                <w:rFonts w:ascii="宋体" w:hAnsi="宋体"/>
                <w:sz w:val="24"/>
              </w:rPr>
            </w:pPr>
            <w:r>
              <w:rPr>
                <w:rFonts w:hint="eastAsia" w:ascii="宋体" w:hAnsi="宋体"/>
                <w:sz w:val="24"/>
              </w:rPr>
              <w:t>(5分）</w:t>
            </w:r>
          </w:p>
        </w:tc>
        <w:tc>
          <w:tcPr>
            <w:tcW w:w="1938" w:type="dxa"/>
            <w:vAlign w:val="center"/>
          </w:tcPr>
          <w:p>
            <w:pPr>
              <w:jc w:val="center"/>
              <w:rPr>
                <w:rFonts w:ascii="宋体" w:hAnsi="宋体"/>
                <w:sz w:val="24"/>
              </w:rPr>
            </w:pPr>
            <w:r>
              <w:rPr>
                <w:rFonts w:hint="eastAsia" w:ascii="宋体" w:hAnsi="宋体"/>
                <w:sz w:val="24"/>
                <w:lang w:eastAsia="zh-CN"/>
              </w:rPr>
              <w:t>基金实施方案流程和机制完整性及合理性（</w:t>
            </w:r>
            <w:r>
              <w:rPr>
                <w:rFonts w:hint="eastAsia" w:ascii="宋体" w:hAnsi="宋体"/>
                <w:sz w:val="24"/>
                <w:lang w:val="en-US" w:eastAsia="zh-CN"/>
              </w:rPr>
              <w:t>5分</w:t>
            </w:r>
            <w:r>
              <w:rPr>
                <w:rFonts w:hint="eastAsia" w:ascii="宋体" w:hAnsi="宋体"/>
                <w:sz w:val="24"/>
                <w:lang w:eastAsia="zh-CN"/>
              </w:rPr>
              <w:t>）</w:t>
            </w:r>
          </w:p>
        </w:tc>
        <w:tc>
          <w:tcPr>
            <w:tcW w:w="3128" w:type="dxa"/>
            <w:vAlign w:val="center"/>
          </w:tcPr>
          <w:p>
            <w:pPr>
              <w:rPr>
                <w:rFonts w:ascii="宋体" w:hAnsi="宋体"/>
                <w:sz w:val="24"/>
              </w:rPr>
            </w:pPr>
            <w:r>
              <w:rPr>
                <w:rFonts w:hint="eastAsia" w:ascii="宋体" w:hAnsi="宋体"/>
                <w:sz w:val="24"/>
              </w:rPr>
              <w:t>1、</w:t>
            </w:r>
            <w:r>
              <w:rPr>
                <w:rFonts w:hint="eastAsia" w:ascii="宋体" w:hAnsi="宋体"/>
                <w:sz w:val="24"/>
                <w:lang w:eastAsia="zh-CN"/>
              </w:rPr>
              <w:t>实施方案</w:t>
            </w:r>
            <w:r>
              <w:rPr>
                <w:rFonts w:hint="eastAsia" w:ascii="宋体" w:hAnsi="宋体"/>
                <w:sz w:val="24"/>
              </w:rPr>
              <w:t>具有详细的投资项目审核（决策）流程和机制</w:t>
            </w:r>
            <w:r>
              <w:rPr>
                <w:rFonts w:hint="eastAsia" w:ascii="宋体" w:hAnsi="宋体"/>
                <w:sz w:val="24"/>
                <w:lang w:eastAsia="zh-CN"/>
              </w:rPr>
              <w:t>，且科学合理的：</w:t>
            </w:r>
            <w:r>
              <w:rPr>
                <w:rFonts w:hint="eastAsia" w:ascii="宋体" w:hAnsi="宋体"/>
                <w:sz w:val="24"/>
              </w:rPr>
              <w:t>（5分）</w:t>
            </w:r>
            <w:r>
              <w:rPr>
                <w:rFonts w:hint="eastAsia" w:ascii="宋体" w:hAnsi="宋体"/>
                <w:sz w:val="24"/>
                <w:lang w:eastAsia="zh-CN"/>
              </w:rPr>
              <w:t>；</w:t>
            </w:r>
          </w:p>
          <w:p>
            <w:pPr>
              <w:rPr>
                <w:rFonts w:ascii="宋体" w:hAnsi="宋体"/>
                <w:sz w:val="24"/>
              </w:rPr>
            </w:pPr>
            <w:r>
              <w:rPr>
                <w:rFonts w:ascii="宋体" w:hAnsi="宋体"/>
                <w:sz w:val="24"/>
              </w:rPr>
              <w:t>2</w:t>
            </w:r>
            <w:r>
              <w:rPr>
                <w:rFonts w:hint="eastAsia" w:ascii="宋体" w:hAnsi="宋体"/>
                <w:sz w:val="24"/>
              </w:rPr>
              <w:t>、方案中有相关的投资项目审核（决策）流程和机制，</w:t>
            </w:r>
            <w:r>
              <w:rPr>
                <w:rFonts w:hint="eastAsia" w:ascii="宋体" w:hAnsi="宋体"/>
                <w:sz w:val="24"/>
                <w:lang w:eastAsia="zh-CN"/>
              </w:rPr>
              <w:t>但缺乏合理性的</w:t>
            </w:r>
            <w:r>
              <w:rPr>
                <w:rFonts w:hint="eastAsia" w:ascii="宋体" w:hAnsi="宋体"/>
                <w:sz w:val="24"/>
              </w:rPr>
              <w:t>：（3分）</w:t>
            </w:r>
            <w:r>
              <w:rPr>
                <w:rFonts w:hint="eastAsia" w:ascii="宋体" w:hAnsi="宋体"/>
                <w:sz w:val="24"/>
                <w:lang w:eastAsia="zh-CN"/>
              </w:rPr>
              <w:t>；</w:t>
            </w:r>
          </w:p>
          <w:p>
            <w:pPr>
              <w:jc w:val="both"/>
              <w:rPr>
                <w:rFonts w:hint="eastAsia" w:ascii="宋体" w:hAnsi="宋体"/>
                <w:sz w:val="24"/>
              </w:rPr>
            </w:pPr>
            <w:r>
              <w:rPr>
                <w:rFonts w:hint="eastAsia" w:ascii="宋体" w:hAnsi="宋体"/>
                <w:sz w:val="24"/>
              </w:rPr>
              <w:t>3、方案中有相关的投资项目审核（决策）流程和机制</w:t>
            </w:r>
            <w:r>
              <w:rPr>
                <w:rFonts w:hint="eastAsia" w:ascii="宋体" w:hAnsi="宋体"/>
                <w:sz w:val="24"/>
                <w:lang w:eastAsia="zh-CN"/>
              </w:rPr>
              <w:t>欠缺的</w:t>
            </w:r>
            <w:r>
              <w:rPr>
                <w:rFonts w:hint="eastAsia" w:ascii="宋体" w:hAnsi="宋体"/>
                <w:sz w:val="24"/>
              </w:rPr>
              <w:t>：（0分）</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实施方案中投资项目备案、监督机制的完善情况（5分）</w:t>
            </w:r>
          </w:p>
        </w:tc>
        <w:tc>
          <w:tcPr>
            <w:tcW w:w="1938" w:type="dxa"/>
            <w:vAlign w:val="center"/>
          </w:tcPr>
          <w:p>
            <w:pPr>
              <w:jc w:val="center"/>
              <w:rPr>
                <w:rFonts w:ascii="宋体" w:hAnsi="宋体"/>
                <w:sz w:val="24"/>
              </w:rPr>
            </w:pPr>
            <w:r>
              <w:rPr>
                <w:rFonts w:hint="eastAsia" w:ascii="宋体" w:hAnsi="宋体"/>
                <w:sz w:val="24"/>
              </w:rPr>
              <w:t>实施方案中投资项目备案、监督机制的完善情况</w:t>
            </w:r>
            <w:r>
              <w:rPr>
                <w:rFonts w:hint="eastAsia" w:ascii="宋体" w:hAnsi="宋体"/>
                <w:sz w:val="24"/>
                <w:lang w:eastAsia="zh-CN"/>
              </w:rPr>
              <w:t>及合理性（</w:t>
            </w:r>
            <w:r>
              <w:rPr>
                <w:rFonts w:hint="eastAsia" w:ascii="宋体" w:hAnsi="宋体"/>
                <w:sz w:val="24"/>
                <w:lang w:val="en-US" w:eastAsia="zh-CN"/>
              </w:rPr>
              <w:t>5分</w:t>
            </w:r>
            <w:r>
              <w:rPr>
                <w:rFonts w:hint="eastAsia" w:ascii="宋体" w:hAnsi="宋体"/>
                <w:sz w:val="24"/>
                <w:lang w:eastAsia="zh-CN"/>
              </w:rPr>
              <w:t>）</w:t>
            </w:r>
          </w:p>
        </w:tc>
        <w:tc>
          <w:tcPr>
            <w:tcW w:w="3128" w:type="dxa"/>
            <w:vAlign w:val="center"/>
          </w:tcPr>
          <w:p>
            <w:pPr>
              <w:jc w:val="left"/>
              <w:rPr>
                <w:rFonts w:ascii="宋体" w:hAnsi="宋体"/>
                <w:sz w:val="24"/>
              </w:rPr>
            </w:pPr>
            <w:r>
              <w:rPr>
                <w:rFonts w:hint="eastAsia" w:ascii="宋体" w:hAnsi="宋体"/>
                <w:sz w:val="24"/>
              </w:rPr>
              <w:t>1、</w:t>
            </w:r>
            <w:r>
              <w:rPr>
                <w:rFonts w:hint="eastAsia" w:ascii="宋体" w:hAnsi="宋体"/>
                <w:sz w:val="24"/>
                <w:lang w:eastAsia="zh-CN"/>
              </w:rPr>
              <w:t>实施方案</w:t>
            </w:r>
            <w:r>
              <w:rPr>
                <w:rFonts w:hint="eastAsia" w:ascii="宋体" w:hAnsi="宋体"/>
                <w:sz w:val="24"/>
              </w:rPr>
              <w:t>对项目的投后管理和监督机制有详细说明</w:t>
            </w:r>
            <w:r>
              <w:rPr>
                <w:rFonts w:hint="eastAsia" w:ascii="宋体" w:hAnsi="宋体"/>
                <w:sz w:val="24"/>
                <w:lang w:eastAsia="zh-CN"/>
              </w:rPr>
              <w:t>，且科学合理的</w:t>
            </w:r>
            <w:r>
              <w:rPr>
                <w:rFonts w:hint="eastAsia" w:ascii="宋体" w:hAnsi="宋体"/>
                <w:sz w:val="24"/>
              </w:rPr>
              <w:t>：（5分）</w:t>
            </w:r>
            <w:r>
              <w:rPr>
                <w:rFonts w:hint="eastAsia" w:ascii="宋体" w:hAnsi="宋体"/>
                <w:sz w:val="24"/>
                <w:lang w:eastAsia="zh-CN"/>
              </w:rPr>
              <w:t>；</w:t>
            </w:r>
          </w:p>
          <w:p>
            <w:pPr>
              <w:jc w:val="left"/>
              <w:rPr>
                <w:rFonts w:ascii="宋体" w:hAnsi="宋体"/>
                <w:sz w:val="24"/>
              </w:rPr>
            </w:pPr>
            <w:r>
              <w:rPr>
                <w:rFonts w:ascii="宋体" w:hAnsi="宋体"/>
                <w:sz w:val="24"/>
              </w:rPr>
              <w:t>2</w:t>
            </w:r>
            <w:r>
              <w:rPr>
                <w:rFonts w:hint="eastAsia" w:ascii="宋体" w:hAnsi="宋体"/>
                <w:sz w:val="24"/>
              </w:rPr>
              <w:t>、</w:t>
            </w:r>
            <w:r>
              <w:rPr>
                <w:rFonts w:hint="eastAsia" w:ascii="宋体" w:hAnsi="宋体"/>
                <w:sz w:val="24"/>
                <w:lang w:eastAsia="zh-CN"/>
              </w:rPr>
              <w:t>实施方案</w:t>
            </w:r>
            <w:r>
              <w:rPr>
                <w:rFonts w:hint="eastAsia" w:ascii="宋体" w:hAnsi="宋体"/>
                <w:sz w:val="24"/>
              </w:rPr>
              <w:t>对项目的投后管理和监督机制有详细说明</w:t>
            </w:r>
            <w:r>
              <w:rPr>
                <w:rFonts w:hint="eastAsia" w:ascii="宋体" w:hAnsi="宋体"/>
                <w:sz w:val="24"/>
                <w:lang w:eastAsia="zh-CN"/>
              </w:rPr>
              <w:t>，但缺乏科学性的</w:t>
            </w:r>
            <w:r>
              <w:rPr>
                <w:rFonts w:hint="eastAsia" w:ascii="宋体" w:hAnsi="宋体"/>
                <w:sz w:val="24"/>
              </w:rPr>
              <w:t>：（3分）</w:t>
            </w:r>
            <w:r>
              <w:rPr>
                <w:rFonts w:hint="eastAsia" w:ascii="宋体" w:hAnsi="宋体"/>
                <w:sz w:val="24"/>
                <w:lang w:eastAsia="zh-CN"/>
              </w:rPr>
              <w:t>；</w:t>
            </w:r>
          </w:p>
          <w:p>
            <w:pPr>
              <w:jc w:val="left"/>
              <w:rPr>
                <w:rFonts w:hint="eastAsia" w:ascii="宋体" w:hAnsi="宋体"/>
                <w:sz w:val="24"/>
              </w:rPr>
            </w:pPr>
            <w:r>
              <w:rPr>
                <w:rFonts w:ascii="宋体" w:hAnsi="宋体"/>
                <w:sz w:val="24"/>
              </w:rPr>
              <w:t>3</w:t>
            </w:r>
            <w:r>
              <w:rPr>
                <w:rFonts w:hint="eastAsia" w:ascii="宋体" w:hAnsi="宋体"/>
                <w:sz w:val="24"/>
              </w:rPr>
              <w:t>、</w:t>
            </w:r>
            <w:r>
              <w:rPr>
                <w:rFonts w:hint="eastAsia" w:ascii="宋体" w:hAnsi="宋体"/>
                <w:sz w:val="24"/>
                <w:lang w:eastAsia="zh-CN"/>
              </w:rPr>
              <w:t>实施方案</w:t>
            </w:r>
            <w:r>
              <w:rPr>
                <w:rFonts w:hint="eastAsia" w:ascii="宋体" w:hAnsi="宋体"/>
                <w:sz w:val="24"/>
              </w:rPr>
              <w:t>对项目的投后管理和监督机制</w:t>
            </w:r>
            <w:r>
              <w:rPr>
                <w:rFonts w:hint="eastAsia" w:ascii="宋体" w:hAnsi="宋体"/>
                <w:sz w:val="24"/>
                <w:lang w:eastAsia="zh-CN"/>
              </w:rPr>
              <w:t>没</w:t>
            </w:r>
            <w:r>
              <w:rPr>
                <w:rFonts w:hint="eastAsia" w:ascii="宋体" w:hAnsi="宋体"/>
                <w:sz w:val="24"/>
              </w:rPr>
              <w:t>有详细说明</w:t>
            </w:r>
            <w:r>
              <w:rPr>
                <w:rFonts w:hint="eastAsia" w:ascii="宋体" w:hAnsi="宋体"/>
                <w:sz w:val="24"/>
                <w:lang w:eastAsia="zh-CN"/>
              </w:rPr>
              <w:t>的</w:t>
            </w:r>
            <w:r>
              <w:rPr>
                <w:rFonts w:hint="eastAsia" w:ascii="宋体" w:hAnsi="宋体"/>
                <w:sz w:val="24"/>
              </w:rPr>
              <w:t>：（0分）</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实施方案中风险控制和处置的可操作性（5分）</w:t>
            </w:r>
          </w:p>
        </w:tc>
        <w:tc>
          <w:tcPr>
            <w:tcW w:w="1938" w:type="dxa"/>
            <w:vAlign w:val="center"/>
          </w:tcPr>
          <w:p>
            <w:pPr>
              <w:jc w:val="center"/>
              <w:rPr>
                <w:rFonts w:ascii="宋体" w:hAnsi="宋体"/>
                <w:sz w:val="24"/>
              </w:rPr>
            </w:pPr>
            <w:r>
              <w:rPr>
                <w:rFonts w:hint="eastAsia" w:ascii="宋体" w:hAnsi="宋体"/>
                <w:sz w:val="24"/>
              </w:rPr>
              <w:t>实施方案中风险控制和处置的可操作性</w:t>
            </w:r>
            <w:r>
              <w:rPr>
                <w:rFonts w:hint="eastAsia" w:ascii="宋体" w:hAnsi="宋体"/>
                <w:sz w:val="24"/>
                <w:lang w:eastAsia="zh-CN"/>
              </w:rPr>
              <w:t>的完善情况及合理性</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5分</w:t>
            </w:r>
            <w:r>
              <w:rPr>
                <w:rFonts w:hint="eastAsia" w:ascii="宋体" w:hAnsi="宋体"/>
                <w:sz w:val="24"/>
                <w:lang w:eastAsia="zh-CN"/>
              </w:rPr>
              <w:t>）</w:t>
            </w:r>
          </w:p>
          <w:p>
            <w:pPr>
              <w:jc w:val="center"/>
              <w:rPr>
                <w:rFonts w:ascii="宋体" w:hAnsi="宋体"/>
                <w:sz w:val="24"/>
              </w:rPr>
            </w:pPr>
          </w:p>
        </w:tc>
        <w:tc>
          <w:tcPr>
            <w:tcW w:w="3128" w:type="dxa"/>
            <w:vAlign w:val="center"/>
          </w:tcPr>
          <w:p>
            <w:pPr>
              <w:jc w:val="both"/>
              <w:rPr>
                <w:rFonts w:ascii="宋体" w:hAnsi="宋体"/>
                <w:sz w:val="24"/>
              </w:rPr>
            </w:pPr>
            <w:r>
              <w:rPr>
                <w:rFonts w:hint="eastAsia" w:ascii="宋体" w:hAnsi="宋体"/>
                <w:sz w:val="24"/>
              </w:rPr>
              <w:t>1、</w:t>
            </w:r>
            <w:r>
              <w:rPr>
                <w:rFonts w:hint="eastAsia" w:ascii="宋体" w:hAnsi="宋体"/>
                <w:sz w:val="24"/>
                <w:lang w:eastAsia="zh-CN"/>
              </w:rPr>
              <w:t>实施方案</w:t>
            </w:r>
            <w:r>
              <w:rPr>
                <w:rFonts w:hint="eastAsia" w:ascii="宋体" w:hAnsi="宋体"/>
                <w:sz w:val="24"/>
              </w:rPr>
              <w:t>对投资项目风险控制流程和处置有详细说明</w:t>
            </w:r>
            <w:r>
              <w:rPr>
                <w:rFonts w:hint="eastAsia" w:ascii="宋体" w:hAnsi="宋体"/>
                <w:sz w:val="24"/>
                <w:lang w:eastAsia="zh-CN"/>
              </w:rPr>
              <w:t>，且科学合理的</w:t>
            </w:r>
            <w:r>
              <w:rPr>
                <w:rFonts w:hint="eastAsia" w:ascii="宋体" w:hAnsi="宋体"/>
                <w:sz w:val="24"/>
              </w:rPr>
              <w:t>：（5分）</w:t>
            </w:r>
            <w:r>
              <w:rPr>
                <w:rFonts w:hint="eastAsia" w:ascii="宋体" w:hAnsi="宋体"/>
                <w:sz w:val="24"/>
                <w:lang w:eastAsia="zh-CN"/>
              </w:rPr>
              <w:t>；</w:t>
            </w:r>
          </w:p>
          <w:p>
            <w:pPr>
              <w:jc w:val="left"/>
              <w:rPr>
                <w:rFonts w:hint="eastAsia" w:ascii="宋体" w:hAnsi="宋体"/>
                <w:sz w:val="24"/>
              </w:rPr>
            </w:pPr>
            <w:r>
              <w:rPr>
                <w:rFonts w:hint="eastAsia" w:ascii="宋体" w:hAnsi="宋体"/>
                <w:sz w:val="24"/>
              </w:rPr>
              <w:t>2、</w:t>
            </w:r>
            <w:r>
              <w:rPr>
                <w:rFonts w:hint="eastAsia" w:ascii="宋体" w:hAnsi="宋体"/>
                <w:sz w:val="24"/>
                <w:lang w:eastAsia="zh-CN"/>
              </w:rPr>
              <w:t>实施方案</w:t>
            </w:r>
            <w:r>
              <w:rPr>
                <w:rFonts w:hint="eastAsia" w:ascii="宋体" w:hAnsi="宋体"/>
                <w:sz w:val="24"/>
              </w:rPr>
              <w:t>对投资项目风险控制流程和处置有详细说明</w:t>
            </w:r>
            <w:r>
              <w:rPr>
                <w:rFonts w:hint="eastAsia" w:ascii="宋体" w:hAnsi="宋体"/>
                <w:sz w:val="24"/>
                <w:lang w:eastAsia="zh-CN"/>
              </w:rPr>
              <w:t>，但缺乏合理性的</w:t>
            </w:r>
            <w:r>
              <w:rPr>
                <w:rFonts w:hint="eastAsia" w:ascii="宋体" w:hAnsi="宋体"/>
                <w:sz w:val="24"/>
              </w:rPr>
              <w:t>：（3分）</w:t>
            </w:r>
            <w:r>
              <w:rPr>
                <w:rFonts w:hint="eastAsia" w:ascii="宋体" w:hAnsi="宋体"/>
                <w:sz w:val="24"/>
                <w:lang w:eastAsia="zh-CN"/>
              </w:rPr>
              <w:t>；</w:t>
            </w:r>
          </w:p>
          <w:p>
            <w:pPr>
              <w:jc w:val="left"/>
              <w:rPr>
                <w:rFonts w:ascii="宋体" w:hAnsi="宋体"/>
                <w:sz w:val="24"/>
              </w:rPr>
            </w:pPr>
            <w:r>
              <w:rPr>
                <w:rFonts w:hint="eastAsia" w:ascii="宋体" w:hAnsi="宋体"/>
                <w:sz w:val="24"/>
              </w:rPr>
              <w:t>3、</w:t>
            </w:r>
            <w:r>
              <w:rPr>
                <w:rFonts w:hint="eastAsia" w:ascii="宋体" w:hAnsi="宋体"/>
                <w:sz w:val="24"/>
                <w:lang w:eastAsia="zh-CN"/>
              </w:rPr>
              <w:t>实施方案</w:t>
            </w:r>
            <w:r>
              <w:rPr>
                <w:rFonts w:hint="eastAsia" w:ascii="宋体" w:hAnsi="宋体"/>
                <w:sz w:val="24"/>
              </w:rPr>
              <w:t>对投资项目风险控制流程和处置有详细说明：（0分）</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实施方案中运营架构设置的科学性与</w:t>
            </w:r>
          </w:p>
          <w:p>
            <w:pPr>
              <w:jc w:val="center"/>
              <w:rPr>
                <w:rFonts w:ascii="宋体" w:hAnsi="宋体"/>
                <w:sz w:val="24"/>
              </w:rPr>
            </w:pPr>
            <w:r>
              <w:rPr>
                <w:rFonts w:hint="eastAsia" w:ascii="宋体" w:hAnsi="宋体"/>
                <w:sz w:val="24"/>
              </w:rPr>
              <w:t>合理性</w:t>
            </w:r>
          </w:p>
          <w:p>
            <w:pPr>
              <w:jc w:val="center"/>
              <w:rPr>
                <w:rFonts w:ascii="宋体" w:hAnsi="宋体"/>
                <w:sz w:val="24"/>
              </w:rPr>
            </w:pPr>
            <w:r>
              <w:rPr>
                <w:rFonts w:hint="eastAsia" w:ascii="宋体" w:hAnsi="宋体"/>
                <w:sz w:val="24"/>
              </w:rPr>
              <w:t>（5分）</w:t>
            </w:r>
          </w:p>
        </w:tc>
        <w:tc>
          <w:tcPr>
            <w:tcW w:w="1938" w:type="dxa"/>
            <w:vAlign w:val="center"/>
          </w:tcPr>
          <w:p>
            <w:pPr>
              <w:jc w:val="center"/>
              <w:rPr>
                <w:rFonts w:ascii="宋体" w:hAnsi="宋体"/>
                <w:sz w:val="24"/>
              </w:rPr>
            </w:pPr>
            <w:r>
              <w:rPr>
                <w:rFonts w:hint="eastAsia" w:ascii="宋体" w:hAnsi="宋体"/>
                <w:sz w:val="24"/>
              </w:rPr>
              <w:t>实施方案中运营架构设置</w:t>
            </w:r>
            <w:r>
              <w:rPr>
                <w:rFonts w:hint="eastAsia" w:ascii="宋体" w:hAnsi="宋体"/>
                <w:sz w:val="24"/>
                <w:lang w:eastAsia="zh-CN"/>
              </w:rPr>
              <w:t>的情况及合理性</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5分</w:t>
            </w:r>
            <w:r>
              <w:rPr>
                <w:rFonts w:hint="eastAsia" w:ascii="宋体" w:hAnsi="宋体"/>
                <w:sz w:val="24"/>
                <w:lang w:eastAsia="zh-CN"/>
              </w:rPr>
              <w:t>）</w:t>
            </w:r>
          </w:p>
        </w:tc>
        <w:tc>
          <w:tcPr>
            <w:tcW w:w="3128" w:type="dxa"/>
            <w:vAlign w:val="center"/>
          </w:tcPr>
          <w:p>
            <w:pPr>
              <w:jc w:val="left"/>
              <w:rPr>
                <w:rFonts w:ascii="宋体" w:hAnsi="宋体"/>
                <w:sz w:val="24"/>
              </w:rPr>
            </w:pPr>
            <w:r>
              <w:rPr>
                <w:rFonts w:hint="eastAsia" w:ascii="宋体" w:hAnsi="宋体"/>
                <w:sz w:val="24"/>
              </w:rPr>
              <w:t>1、实施方案中对运作组织架构设置有详细的协作分工说明，且科学合理</w:t>
            </w:r>
            <w:r>
              <w:rPr>
                <w:rFonts w:hint="eastAsia" w:ascii="宋体" w:hAnsi="宋体"/>
                <w:sz w:val="24"/>
                <w:lang w:eastAsia="zh-CN"/>
              </w:rPr>
              <w:t>的</w:t>
            </w:r>
            <w:r>
              <w:rPr>
                <w:rFonts w:hint="eastAsia" w:ascii="宋体" w:hAnsi="宋体"/>
                <w:sz w:val="24"/>
              </w:rPr>
              <w:t>：（5分）</w:t>
            </w:r>
            <w:r>
              <w:rPr>
                <w:rFonts w:hint="eastAsia" w:ascii="宋体" w:hAnsi="宋体"/>
                <w:sz w:val="24"/>
                <w:lang w:eastAsia="zh-CN"/>
              </w:rPr>
              <w:t>；</w:t>
            </w:r>
          </w:p>
          <w:p>
            <w:pPr>
              <w:jc w:val="left"/>
              <w:rPr>
                <w:rFonts w:ascii="宋体" w:hAnsi="宋体"/>
                <w:sz w:val="24"/>
              </w:rPr>
            </w:pPr>
            <w:r>
              <w:rPr>
                <w:rFonts w:hint="eastAsia" w:ascii="宋体" w:hAnsi="宋体"/>
                <w:sz w:val="24"/>
              </w:rPr>
              <w:t>2、实施方案中对运作组织架构设置有详细的协作分工说明</w:t>
            </w:r>
            <w:r>
              <w:rPr>
                <w:rFonts w:hint="eastAsia" w:ascii="宋体" w:hAnsi="宋体"/>
                <w:sz w:val="24"/>
                <w:lang w:eastAsia="zh-CN"/>
              </w:rPr>
              <w:t>但缺乏合理性的</w:t>
            </w:r>
            <w:r>
              <w:rPr>
                <w:rFonts w:hint="eastAsia" w:ascii="宋体" w:hAnsi="宋体"/>
                <w:sz w:val="24"/>
              </w:rPr>
              <w:t>：（3分）</w:t>
            </w:r>
            <w:r>
              <w:rPr>
                <w:rFonts w:hint="eastAsia" w:ascii="宋体" w:hAnsi="宋体"/>
                <w:sz w:val="24"/>
                <w:lang w:eastAsia="zh-CN"/>
              </w:rPr>
              <w:t>；</w:t>
            </w:r>
          </w:p>
          <w:p>
            <w:pPr>
              <w:jc w:val="left"/>
              <w:rPr>
                <w:rFonts w:hint="eastAsia" w:ascii="宋体" w:hAnsi="宋体"/>
                <w:sz w:val="24"/>
              </w:rPr>
            </w:pPr>
            <w:r>
              <w:rPr>
                <w:rFonts w:hint="eastAsia" w:ascii="宋体" w:hAnsi="宋体"/>
                <w:sz w:val="24"/>
              </w:rPr>
              <w:t>3、</w:t>
            </w:r>
            <w:r>
              <w:rPr>
                <w:rFonts w:hint="eastAsia" w:ascii="宋体" w:hAnsi="宋体"/>
                <w:sz w:val="24"/>
                <w:lang w:eastAsia="zh-CN"/>
              </w:rPr>
              <w:t>实施方案</w:t>
            </w:r>
            <w:r>
              <w:rPr>
                <w:rFonts w:hint="eastAsia" w:ascii="宋体" w:hAnsi="宋体"/>
                <w:sz w:val="24"/>
              </w:rPr>
              <w:t>中对运作组织架构设置</w:t>
            </w:r>
            <w:r>
              <w:rPr>
                <w:rFonts w:hint="eastAsia" w:ascii="宋体" w:hAnsi="宋体"/>
                <w:sz w:val="24"/>
                <w:lang w:eastAsia="zh-CN"/>
              </w:rPr>
              <w:t>没</w:t>
            </w:r>
            <w:r>
              <w:rPr>
                <w:rFonts w:hint="eastAsia" w:ascii="宋体" w:hAnsi="宋体"/>
                <w:sz w:val="24"/>
              </w:rPr>
              <w:t>有详细的协作分工说明：（0分）</w:t>
            </w:r>
            <w:r>
              <w:rPr>
                <w:rFonts w:hint="eastAsia" w:ascii="宋体" w:hAnsi="宋体"/>
                <w:sz w:val="24"/>
                <w:lang w:eastAsia="zh-CN"/>
              </w:rPr>
              <w:t>。</w:t>
            </w:r>
          </w:p>
        </w:tc>
      </w:tr>
    </w:tbl>
    <w:p/>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F3F2A"/>
    <w:multiLevelType w:val="multilevel"/>
    <w:tmpl w:val="453F3F2A"/>
    <w:lvl w:ilvl="0" w:tentative="0">
      <w:start w:val="1"/>
      <w:numFmt w:val="japaneseCounting"/>
      <w:lvlText w:val="%1、"/>
      <w:lvlJc w:val="left"/>
      <w:pPr>
        <w:ind w:left="1380" w:hanging="72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636F7"/>
    <w:rsid w:val="00052B61"/>
    <w:rsid w:val="00312B5D"/>
    <w:rsid w:val="008A346E"/>
    <w:rsid w:val="035A08A5"/>
    <w:rsid w:val="051E7023"/>
    <w:rsid w:val="058B058C"/>
    <w:rsid w:val="05B74C48"/>
    <w:rsid w:val="094A313F"/>
    <w:rsid w:val="0A2D58DA"/>
    <w:rsid w:val="0DEE264E"/>
    <w:rsid w:val="121A5441"/>
    <w:rsid w:val="163E0468"/>
    <w:rsid w:val="1A1639D8"/>
    <w:rsid w:val="1E0C4875"/>
    <w:rsid w:val="1E8D1040"/>
    <w:rsid w:val="1F2E1829"/>
    <w:rsid w:val="2624315D"/>
    <w:rsid w:val="27C636F7"/>
    <w:rsid w:val="2B5A4A5D"/>
    <w:rsid w:val="2D905FF3"/>
    <w:rsid w:val="33953C54"/>
    <w:rsid w:val="38791DA9"/>
    <w:rsid w:val="387B0F6F"/>
    <w:rsid w:val="3CD701E0"/>
    <w:rsid w:val="41EF4D40"/>
    <w:rsid w:val="423220EF"/>
    <w:rsid w:val="42646082"/>
    <w:rsid w:val="448E3CBD"/>
    <w:rsid w:val="4CBB33CF"/>
    <w:rsid w:val="52DA36B4"/>
    <w:rsid w:val="6003062F"/>
    <w:rsid w:val="608703DC"/>
    <w:rsid w:val="62D220F8"/>
    <w:rsid w:val="64BF0707"/>
    <w:rsid w:val="6E874929"/>
    <w:rsid w:val="6F3E66A0"/>
    <w:rsid w:val="73347B29"/>
    <w:rsid w:val="73F21503"/>
    <w:rsid w:val="7C97013B"/>
    <w:rsid w:val="7F5D3C81"/>
    <w:rsid w:val="7FBC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414</Words>
  <Characters>2363</Characters>
  <Lines>19</Lines>
  <Paragraphs>5</Paragraphs>
  <TotalTime>0</TotalTime>
  <ScaleCrop>false</ScaleCrop>
  <LinksUpToDate>false</LinksUpToDate>
  <CharactersWithSpaces>2772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2019-09-12T08:54:00Z</dcterms:created>
  <dc:creator>赵剑</dc:creator>
  <cp:lastModifiedBy>龙鸣</cp:lastModifiedBy>
  <cp:lastPrinted>2019-09-22T04:59:00Z</cp:lastPrinted>
  <dcterms:modified xsi:type="dcterms:W3CDTF">2019-09-29T03:38:13Z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