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spacing w:val="10"/>
          <w:sz w:val="32"/>
          <w:szCs w:val="32"/>
        </w:rPr>
      </w:pPr>
      <w:r>
        <w:rPr>
          <w:rFonts w:hint="eastAsia" w:ascii="黑体" w:hAnsi="黑体" w:eastAsia="黑体"/>
          <w:spacing w:val="10"/>
          <w:sz w:val="32"/>
          <w:szCs w:val="32"/>
        </w:rPr>
        <w:t>附件</w:t>
      </w:r>
      <w:r>
        <w:rPr>
          <w:rFonts w:hint="eastAsia" w:ascii="黑体" w:hAnsi="黑体" w:eastAsia="黑体"/>
          <w:spacing w:val="10"/>
          <w:sz w:val="32"/>
          <w:szCs w:val="32"/>
          <w:lang w:val="en-US" w:eastAsia="zh-CN"/>
        </w:rPr>
        <w:t>2</w:t>
      </w:r>
    </w:p>
    <w:p>
      <w:pPr>
        <w:spacing w:line="560" w:lineRule="exact"/>
        <w:jc w:val="center"/>
        <w:rPr>
          <w:rFonts w:hint="eastAsia" w:ascii="华文中宋" w:hAnsi="华文中宋" w:eastAsia="华文中宋" w:cs="黑体"/>
          <w:b/>
          <w:sz w:val="44"/>
          <w:szCs w:val="44"/>
        </w:rPr>
      </w:pP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深圳市知识产权运营基金管理办法（试行）</w:t>
      </w: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起草说明</w:t>
      </w:r>
    </w:p>
    <w:p>
      <w:pPr>
        <w:rPr>
          <w:rFonts w:ascii="仿宋_GB2312" w:eastAsia="仿宋_GB2312"/>
          <w:sz w:val="32"/>
          <w:szCs w:val="32"/>
        </w:rPr>
      </w:pPr>
      <w:r>
        <w:rPr>
          <w:rFonts w:hint="eastAsia"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为贯彻落实《中共中央 国务院关于深化体制改革加快实施创新驱动发展战略的若干意见》，《国务院关于新形势下加快知识产权强国建设的若干意见》，国家知识产权局《关于进一步推动知识产权金融服务工作的意见》，《中共深圳市委 深圳市人民政府印发&lt;关于促进科技创新的若干意见&gt;的通知》以及《深圳市知识产权“十三五”规划》精神，发挥市场在资源配置中的决定性作用，加快探索设立深圳市知识产权运营基金，推动我市知识产权运营发展，我局研究起草了《</w:t>
      </w:r>
      <w:r>
        <w:rPr>
          <w:rFonts w:hint="eastAsia" w:ascii="仿宋_GB2312" w:hAnsi="宋体" w:eastAsia="仿宋_GB2312"/>
          <w:spacing w:val="10"/>
          <w:sz w:val="32"/>
          <w:szCs w:val="32"/>
        </w:rPr>
        <w:t>深圳市知识产权运营基金管理办法</w:t>
      </w:r>
      <w:r>
        <w:rPr>
          <w:rFonts w:hint="eastAsia" w:ascii="仿宋_GB2312" w:eastAsia="仿宋_GB2312"/>
          <w:sz w:val="32"/>
          <w:szCs w:val="32"/>
        </w:rPr>
        <w:t>》，有关情况说明如下：</w:t>
      </w:r>
    </w:p>
    <w:p>
      <w:pPr>
        <w:ind w:firstLine="640" w:firstLineChars="200"/>
        <w:rPr>
          <w:rFonts w:ascii="黑体" w:hAnsi="黑体" w:eastAsia="黑体"/>
          <w:sz w:val="32"/>
          <w:szCs w:val="32"/>
        </w:rPr>
      </w:pPr>
      <w:r>
        <w:rPr>
          <w:rFonts w:hint="eastAsia" w:ascii="黑体" w:hAnsi="黑体" w:eastAsia="黑体"/>
          <w:sz w:val="32"/>
          <w:szCs w:val="32"/>
        </w:rPr>
        <w:t>一、基金设立背景</w:t>
      </w:r>
    </w:p>
    <w:p>
      <w:pPr>
        <w:ind w:firstLine="640" w:firstLineChars="200"/>
        <w:rPr>
          <w:rFonts w:ascii="仿宋_GB2312" w:eastAsia="仿宋_GB2312"/>
          <w:sz w:val="32"/>
          <w:szCs w:val="32"/>
        </w:rPr>
      </w:pPr>
      <w:r>
        <w:rPr>
          <w:rFonts w:hint="eastAsia" w:ascii="仿宋_GB2312" w:eastAsia="仿宋_GB2312"/>
          <w:sz w:val="32"/>
          <w:szCs w:val="32"/>
        </w:rPr>
        <w:t>为贯彻落实党中央、国务院关于加强知识产权运用和保护的有关要求，加快推进知识产权强国建设，强化知识产权运营体系建设，2014年12月，财政部办公厅、国家知识产权局办公室印发了《关于开展以市场化方式促进知识产权运营服务工作的通知》（财办建〔2014〕92号），要求有关省份和城市高度重视以市场化方式促进知识产权运营工作；2016年3月，中共深圳市委</w:t>
      </w:r>
      <w:r>
        <w:rPr>
          <w:rFonts w:ascii="仿宋_GB2312" w:eastAsia="仿宋_GB2312"/>
          <w:sz w:val="32"/>
          <w:szCs w:val="32"/>
        </w:rPr>
        <w:t xml:space="preserve"> </w:t>
      </w:r>
      <w:r>
        <w:rPr>
          <w:rFonts w:hint="eastAsia" w:ascii="仿宋_GB2312" w:eastAsia="仿宋_GB2312"/>
          <w:sz w:val="32"/>
          <w:szCs w:val="32"/>
        </w:rPr>
        <w:t>深圳市政府印发《关于促进科技创新的若干措施》通知，提出要优化综合创新生态体系，打造创新创业生态区，要强化知识产权保护和运用，支持市政府投资引导基金参与设立知识产权运营基金，用于核心专利和高价值专利组合的收购、转移转化、投融资等，探索知识产权证券化。</w:t>
      </w:r>
    </w:p>
    <w:p>
      <w:pPr>
        <w:spacing w:line="580" w:lineRule="exact"/>
        <w:ind w:firstLine="540"/>
        <w:rPr>
          <w:rFonts w:ascii="仿宋_GB2312" w:eastAsia="仿宋_GB2312"/>
          <w:sz w:val="32"/>
          <w:szCs w:val="32"/>
        </w:rPr>
      </w:pPr>
      <w:r>
        <w:rPr>
          <w:rFonts w:hint="eastAsia" w:ascii="仿宋_GB2312" w:eastAsia="仿宋_GB2312"/>
          <w:sz w:val="32"/>
          <w:szCs w:val="32"/>
        </w:rPr>
        <w:t>2018年5月31日，深圳市印发了《深圳市人民政府办公厅关于印发深圳市知识产权运营服务体系建设实施方案（2018-2020年）的通知》（深府办函〔2018〕277号），要求中央资金支持设立知识产权运营基金，以股权投资的形式培育知识产权运营机构，发展知识产权运营服务新业态。</w:t>
      </w:r>
    </w:p>
    <w:p>
      <w:pPr>
        <w:ind w:firstLine="640" w:firstLineChars="200"/>
        <w:rPr>
          <w:rFonts w:ascii="仿宋_GB2312" w:eastAsia="仿宋_GB2312"/>
          <w:sz w:val="32"/>
          <w:szCs w:val="32"/>
        </w:rPr>
      </w:pPr>
    </w:p>
    <w:p>
      <w:pPr>
        <w:jc w:val="center"/>
        <w:rPr>
          <w:rFonts w:ascii="华文中宋" w:hAnsi="华文中宋" w:eastAsia="华文中宋"/>
          <w:sz w:val="32"/>
          <w:szCs w:val="32"/>
        </w:rPr>
      </w:pPr>
      <w:r>
        <w:rPr>
          <w:rFonts w:hint="eastAsia" w:ascii="华文中宋" w:hAnsi="华文中宋" w:eastAsia="华文中宋"/>
          <w:sz w:val="32"/>
          <w:szCs w:val="32"/>
        </w:rPr>
        <w:t>各省（市）知识产权运营基金设立情况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847"/>
        <w:gridCol w:w="1135"/>
        <w:gridCol w:w="1560"/>
        <w:gridCol w:w="1844"/>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序号</w:t>
            </w:r>
          </w:p>
        </w:tc>
        <w:tc>
          <w:tcPr>
            <w:tcW w:w="847" w:type="dxa"/>
            <w:tcBorders>
              <w:top w:val="single" w:color="auto" w:sz="4" w:space="0"/>
              <w:left w:val="nil"/>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省（市）</w:t>
            </w:r>
          </w:p>
        </w:tc>
        <w:tc>
          <w:tcPr>
            <w:tcW w:w="1135" w:type="dxa"/>
            <w:tcBorders>
              <w:top w:val="single" w:color="auto" w:sz="4" w:space="0"/>
              <w:left w:val="nil"/>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基金成立时间</w:t>
            </w:r>
          </w:p>
        </w:tc>
        <w:tc>
          <w:tcPr>
            <w:tcW w:w="1560" w:type="dxa"/>
            <w:tcBorders>
              <w:top w:val="single" w:color="auto" w:sz="4" w:space="0"/>
              <w:left w:val="nil"/>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基金名称</w:t>
            </w:r>
          </w:p>
        </w:tc>
        <w:tc>
          <w:tcPr>
            <w:tcW w:w="1844" w:type="dxa"/>
            <w:tcBorders>
              <w:top w:val="single" w:color="auto" w:sz="4" w:space="0"/>
              <w:left w:val="nil"/>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基金规模</w:t>
            </w:r>
          </w:p>
        </w:tc>
        <w:tc>
          <w:tcPr>
            <w:tcW w:w="2458" w:type="dxa"/>
            <w:tcBorders>
              <w:top w:val="single" w:color="auto" w:sz="4" w:space="0"/>
              <w:left w:val="nil"/>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投资方向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1</w:t>
            </w:r>
          </w:p>
        </w:tc>
        <w:tc>
          <w:tcPr>
            <w:tcW w:w="847" w:type="dxa"/>
            <w:tcBorders>
              <w:top w:val="single" w:color="auto" w:sz="4" w:space="0"/>
              <w:left w:val="nil"/>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江苏省</w:t>
            </w:r>
          </w:p>
        </w:tc>
        <w:tc>
          <w:tcPr>
            <w:tcW w:w="1135" w:type="dxa"/>
            <w:tcBorders>
              <w:top w:val="single" w:color="auto" w:sz="4" w:space="0"/>
              <w:left w:val="nil"/>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2015年9月25日</w:t>
            </w:r>
          </w:p>
        </w:tc>
        <w:tc>
          <w:tcPr>
            <w:tcW w:w="1560" w:type="dxa"/>
            <w:tcBorders>
              <w:top w:val="single" w:color="auto" w:sz="4" w:space="0"/>
              <w:left w:val="nil"/>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江苏省知识产权运营基金</w:t>
            </w:r>
          </w:p>
        </w:tc>
        <w:tc>
          <w:tcPr>
            <w:tcW w:w="1844" w:type="dxa"/>
            <w:tcBorders>
              <w:top w:val="single" w:color="auto" w:sz="4" w:space="0"/>
              <w:left w:val="nil"/>
              <w:bottom w:val="single" w:color="auto" w:sz="4" w:space="0"/>
              <w:right w:val="single" w:color="auto" w:sz="4" w:space="0"/>
            </w:tcBorders>
            <w:vAlign w:val="center"/>
          </w:tcPr>
          <w:p>
            <w:pPr>
              <w:jc w:val="left"/>
              <w:rPr>
                <w:rFonts w:ascii="仿宋_GB2312" w:eastAsia="仿宋_GB2312"/>
              </w:rPr>
            </w:pPr>
            <w:r>
              <w:rPr>
                <w:rFonts w:hint="eastAsia" w:ascii="仿宋_GB2312" w:eastAsia="仿宋_GB2312"/>
              </w:rPr>
              <w:t>基金规模达5亿元。</w:t>
            </w:r>
          </w:p>
        </w:tc>
        <w:tc>
          <w:tcPr>
            <w:tcW w:w="2458" w:type="dxa"/>
            <w:tcBorders>
              <w:top w:val="single" w:color="auto" w:sz="4" w:space="0"/>
              <w:left w:val="nil"/>
              <w:bottom w:val="single" w:color="auto" w:sz="4" w:space="0"/>
              <w:right w:val="single" w:color="auto" w:sz="4" w:space="0"/>
            </w:tcBorders>
            <w:vAlign w:val="center"/>
          </w:tcPr>
          <w:p>
            <w:pPr>
              <w:jc w:val="left"/>
              <w:rPr>
                <w:rFonts w:ascii="仿宋_GB2312" w:eastAsia="仿宋_GB2312"/>
              </w:rPr>
            </w:pPr>
            <w:r>
              <w:rPr>
                <w:rFonts w:hint="eastAsia" w:ascii="仿宋_GB2312" w:eastAsia="仿宋_GB2312"/>
              </w:rPr>
              <w:t>重点支持省委、省政府确定的重大投资项目，及符合战略性新兴产业、“中国制造2025”江苏行动等战略规划的转型升级项目。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2</w:t>
            </w:r>
          </w:p>
        </w:tc>
        <w:tc>
          <w:tcPr>
            <w:tcW w:w="847" w:type="dxa"/>
            <w:tcBorders>
              <w:top w:val="single" w:color="auto" w:sz="4" w:space="0"/>
              <w:left w:val="nil"/>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四川省</w:t>
            </w:r>
          </w:p>
        </w:tc>
        <w:tc>
          <w:tcPr>
            <w:tcW w:w="1135" w:type="dxa"/>
            <w:tcBorders>
              <w:top w:val="single" w:color="auto" w:sz="4" w:space="0"/>
              <w:left w:val="nil"/>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2015年12月29日</w:t>
            </w:r>
          </w:p>
        </w:tc>
        <w:tc>
          <w:tcPr>
            <w:tcW w:w="1560" w:type="dxa"/>
            <w:tcBorders>
              <w:top w:val="single" w:color="auto" w:sz="4" w:space="0"/>
              <w:left w:val="nil"/>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四川省知识产权运营基金</w:t>
            </w:r>
          </w:p>
        </w:tc>
        <w:tc>
          <w:tcPr>
            <w:tcW w:w="1844" w:type="dxa"/>
            <w:tcBorders>
              <w:top w:val="single" w:color="auto" w:sz="4" w:space="0"/>
              <w:left w:val="nil"/>
              <w:bottom w:val="single" w:color="auto" w:sz="4" w:space="0"/>
              <w:right w:val="single" w:color="auto" w:sz="4" w:space="0"/>
            </w:tcBorders>
            <w:vAlign w:val="center"/>
          </w:tcPr>
          <w:p>
            <w:pPr>
              <w:jc w:val="left"/>
              <w:rPr>
                <w:rFonts w:ascii="仿宋_GB2312" w:eastAsia="仿宋_GB2312"/>
              </w:rPr>
            </w:pPr>
            <w:r>
              <w:rPr>
                <w:rFonts w:hint="eastAsia" w:ascii="仿宋_GB2312" w:eastAsia="仿宋_GB2312"/>
              </w:rPr>
              <w:t>省级财政出资1亿元，成都、德阳、绵阳三市财政出资0.7亿元，省财政和三市财政出资由省财政厅统一委托四川发展股权投资基金管理有限公司代持，三市财政出资的让利方式与省财政出资相同。</w:t>
            </w:r>
          </w:p>
        </w:tc>
        <w:tc>
          <w:tcPr>
            <w:tcW w:w="2458" w:type="dxa"/>
            <w:tcBorders>
              <w:top w:val="single" w:color="auto" w:sz="4" w:space="0"/>
              <w:left w:val="nil"/>
              <w:bottom w:val="single" w:color="auto" w:sz="4" w:space="0"/>
              <w:right w:val="single" w:color="auto" w:sz="4" w:space="0"/>
            </w:tcBorders>
            <w:vAlign w:val="center"/>
          </w:tcPr>
          <w:p>
            <w:pPr>
              <w:rPr>
                <w:rFonts w:ascii="仿宋_GB2312" w:eastAsia="仿宋_GB2312"/>
              </w:rPr>
            </w:pPr>
            <w:r>
              <w:rPr>
                <w:rFonts w:hint="eastAsia" w:ascii="仿宋_GB2312" w:eastAsia="仿宋_GB2312"/>
              </w:rPr>
              <w:t>投资产业领域涵盖四川省五大高端成长型产业、五大新兴先导型服务业、七大战略性新兴产业、七大优势特色产业，以及四川省委、省政府确定的创新创业其他相关产业领域。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3</w:t>
            </w:r>
          </w:p>
        </w:tc>
        <w:tc>
          <w:tcPr>
            <w:tcW w:w="847" w:type="dxa"/>
            <w:tcBorders>
              <w:top w:val="single" w:color="auto" w:sz="4" w:space="0"/>
              <w:left w:val="nil"/>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北京市</w:t>
            </w:r>
          </w:p>
        </w:tc>
        <w:tc>
          <w:tcPr>
            <w:tcW w:w="1135" w:type="dxa"/>
            <w:tcBorders>
              <w:top w:val="single" w:color="auto" w:sz="4" w:space="0"/>
              <w:left w:val="nil"/>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2015年12月31日</w:t>
            </w:r>
          </w:p>
        </w:tc>
        <w:tc>
          <w:tcPr>
            <w:tcW w:w="1560" w:type="dxa"/>
            <w:tcBorders>
              <w:top w:val="single" w:color="auto" w:sz="4" w:space="0"/>
              <w:left w:val="nil"/>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北京市重点产业知识产权运营基金</w:t>
            </w:r>
          </w:p>
        </w:tc>
        <w:tc>
          <w:tcPr>
            <w:tcW w:w="1844" w:type="dxa"/>
            <w:tcBorders>
              <w:top w:val="single" w:color="auto" w:sz="4" w:space="0"/>
              <w:left w:val="nil"/>
              <w:bottom w:val="single" w:color="auto" w:sz="4" w:space="0"/>
              <w:right w:val="single" w:color="auto" w:sz="4" w:space="0"/>
            </w:tcBorders>
            <w:vAlign w:val="center"/>
          </w:tcPr>
          <w:p>
            <w:pPr>
              <w:jc w:val="left"/>
              <w:rPr>
                <w:rFonts w:ascii="仿宋_GB2312" w:eastAsia="仿宋_GB2312"/>
              </w:rPr>
            </w:pPr>
            <w:r>
              <w:rPr>
                <w:rFonts w:hint="eastAsia" w:ascii="仿宋_GB2312" w:eastAsia="仿宋_GB2312"/>
              </w:rPr>
              <w:t>采取有限合伙的形式，存续期为10年，计划规模10亿元人民币。首期4亿元人民币已认购完毕。</w:t>
            </w:r>
          </w:p>
        </w:tc>
        <w:tc>
          <w:tcPr>
            <w:tcW w:w="2458" w:type="dxa"/>
            <w:tcBorders>
              <w:top w:val="single" w:color="auto" w:sz="4" w:space="0"/>
              <w:left w:val="nil"/>
              <w:bottom w:val="single" w:color="auto" w:sz="4" w:space="0"/>
              <w:right w:val="single" w:color="auto" w:sz="4" w:space="0"/>
            </w:tcBorders>
            <w:vAlign w:val="center"/>
          </w:tcPr>
          <w:p>
            <w:pPr>
              <w:jc w:val="left"/>
              <w:rPr>
                <w:rFonts w:ascii="仿宋_GB2312" w:eastAsia="仿宋_GB2312"/>
              </w:rPr>
            </w:pPr>
            <w:r>
              <w:rPr>
                <w:rFonts w:hint="eastAsia" w:ascii="仿宋_GB2312" w:eastAsia="仿宋_GB2312"/>
              </w:rPr>
              <w:t>重点关注移动互联网和生物医药产业，主要投资于这两个产业中拥有核心专利和高价值专利组合、市场前景良好、高成长性的初创期或成长期企业，或者具有相应产业领域特色的知识产权运营机构。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4</w:t>
            </w:r>
          </w:p>
        </w:tc>
        <w:tc>
          <w:tcPr>
            <w:tcW w:w="847" w:type="dxa"/>
            <w:tcBorders>
              <w:top w:val="single" w:color="auto" w:sz="4" w:space="0"/>
              <w:left w:val="nil"/>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广州市</w:t>
            </w:r>
          </w:p>
        </w:tc>
        <w:tc>
          <w:tcPr>
            <w:tcW w:w="1135" w:type="dxa"/>
            <w:tcBorders>
              <w:top w:val="single" w:color="auto" w:sz="4" w:space="0"/>
              <w:left w:val="nil"/>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2016年1月22日</w:t>
            </w:r>
          </w:p>
        </w:tc>
        <w:tc>
          <w:tcPr>
            <w:tcW w:w="1560" w:type="dxa"/>
            <w:tcBorders>
              <w:top w:val="single" w:color="auto" w:sz="4" w:space="0"/>
              <w:left w:val="nil"/>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广东省粤科国联知识产权投资运营基金</w:t>
            </w:r>
          </w:p>
        </w:tc>
        <w:tc>
          <w:tcPr>
            <w:tcW w:w="1844" w:type="dxa"/>
            <w:tcBorders>
              <w:top w:val="single" w:color="auto" w:sz="4" w:space="0"/>
              <w:left w:val="nil"/>
              <w:bottom w:val="single" w:color="auto" w:sz="4" w:space="0"/>
              <w:right w:val="single" w:color="auto" w:sz="4" w:space="0"/>
            </w:tcBorders>
            <w:vAlign w:val="center"/>
          </w:tcPr>
          <w:p>
            <w:pPr>
              <w:jc w:val="left"/>
              <w:rPr>
                <w:rFonts w:ascii="仿宋_GB2312" w:eastAsia="仿宋_GB2312"/>
              </w:rPr>
            </w:pPr>
            <w:r>
              <w:rPr>
                <w:rFonts w:hint="eastAsia" w:ascii="仿宋_GB2312" w:eastAsia="仿宋_GB2312"/>
              </w:rPr>
              <w:t>以中央财政4000万元重点产业知识产权运营扶持资金为引导，向社会有关机构、民间资本招募。基金总规模将达30亿元，首期计划形成5亿元的知识产权运营基金规模。</w:t>
            </w:r>
          </w:p>
        </w:tc>
        <w:tc>
          <w:tcPr>
            <w:tcW w:w="2458" w:type="dxa"/>
            <w:tcBorders>
              <w:top w:val="single" w:color="auto" w:sz="4" w:space="0"/>
              <w:left w:val="nil"/>
              <w:bottom w:val="single" w:color="auto" w:sz="4" w:space="0"/>
              <w:right w:val="single" w:color="auto" w:sz="4" w:space="0"/>
            </w:tcBorders>
            <w:vAlign w:val="center"/>
          </w:tcPr>
          <w:p>
            <w:pPr>
              <w:jc w:val="left"/>
              <w:rPr>
                <w:rFonts w:ascii="仿宋_GB2312" w:eastAsia="仿宋_GB2312"/>
              </w:rPr>
            </w:pPr>
            <w:r>
              <w:rPr>
                <w:rFonts w:hint="eastAsia" w:ascii="仿宋_GB2312" w:eastAsia="仿宋_GB2312"/>
              </w:rPr>
              <w:t>围绕高档数控机床和机器人、新一代信息技术等十大战略产业以及知识产权服务业，通过市场化的知识产权收购、孵化、投资等多种渠道，积极探索知识产权运营的商业模式。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5</w:t>
            </w:r>
          </w:p>
        </w:tc>
        <w:tc>
          <w:tcPr>
            <w:tcW w:w="847" w:type="dxa"/>
            <w:tcBorders>
              <w:top w:val="single" w:color="auto" w:sz="4" w:space="0"/>
              <w:left w:val="nil"/>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杭州市</w:t>
            </w:r>
          </w:p>
        </w:tc>
        <w:tc>
          <w:tcPr>
            <w:tcW w:w="1135" w:type="dxa"/>
            <w:tcBorders>
              <w:top w:val="single" w:color="auto" w:sz="4" w:space="0"/>
              <w:left w:val="nil"/>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2017年11月15日</w:t>
            </w:r>
          </w:p>
        </w:tc>
        <w:tc>
          <w:tcPr>
            <w:tcW w:w="1560" w:type="dxa"/>
            <w:tcBorders>
              <w:top w:val="single" w:color="auto" w:sz="4" w:space="0"/>
              <w:left w:val="nil"/>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杭州市重点产业知识产权运营基金</w:t>
            </w:r>
          </w:p>
        </w:tc>
        <w:tc>
          <w:tcPr>
            <w:tcW w:w="1844" w:type="dxa"/>
            <w:tcBorders>
              <w:top w:val="single" w:color="auto" w:sz="4" w:space="0"/>
              <w:left w:val="nil"/>
              <w:bottom w:val="single" w:color="auto" w:sz="4" w:space="0"/>
              <w:right w:val="single" w:color="auto" w:sz="4" w:space="0"/>
            </w:tcBorders>
            <w:vAlign w:val="center"/>
          </w:tcPr>
          <w:p>
            <w:pPr>
              <w:jc w:val="left"/>
              <w:rPr>
                <w:rFonts w:ascii="仿宋_GB2312" w:eastAsia="仿宋_GB2312"/>
              </w:rPr>
            </w:pPr>
            <w:r>
              <w:rPr>
                <w:rFonts w:hint="eastAsia" w:ascii="仿宋_GB2312" w:eastAsia="仿宋_GB2312"/>
              </w:rPr>
              <w:t> 杭州市知识产权局代表杭州市政府履行政府出资管理职责，杭州市高科技投资有限公司或其新设立管理公司作为运营基金的运营管理机构，运营管理机构具体负责运营基金的日常管理等职责。资金来源为中央财政资金，运营基金与其他符合条件的社会资本共同发起设立投资基金。</w:t>
            </w:r>
          </w:p>
        </w:tc>
        <w:tc>
          <w:tcPr>
            <w:tcW w:w="2458" w:type="dxa"/>
            <w:tcBorders>
              <w:top w:val="single" w:color="auto" w:sz="4" w:space="0"/>
              <w:left w:val="nil"/>
              <w:bottom w:val="single" w:color="auto" w:sz="4" w:space="0"/>
              <w:right w:val="single" w:color="auto" w:sz="4" w:space="0"/>
            </w:tcBorders>
            <w:vAlign w:val="center"/>
          </w:tcPr>
          <w:p>
            <w:pPr>
              <w:jc w:val="left"/>
              <w:rPr>
                <w:rFonts w:ascii="仿宋_GB2312" w:eastAsia="仿宋_GB2312"/>
              </w:rPr>
            </w:pPr>
            <w:r>
              <w:rPr>
                <w:rFonts w:hint="eastAsia" w:ascii="仿宋_GB2312" w:eastAsia="仿宋_GB2312"/>
              </w:rPr>
              <w:t>主要投向高价值专利培育、专利布局、专利密集型企业和产业投资等。重点投资于杭州市确定的重点产业、战略性新兴产业、专利密集型产业领域，特别是电子信息、生物医药、先进装备制造、人工智能等知识产权运营项目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6</w:t>
            </w:r>
          </w:p>
        </w:tc>
        <w:tc>
          <w:tcPr>
            <w:tcW w:w="847" w:type="dxa"/>
            <w:tcBorders>
              <w:top w:val="single" w:color="auto" w:sz="4" w:space="0"/>
              <w:left w:val="nil"/>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青岛市</w:t>
            </w:r>
          </w:p>
        </w:tc>
        <w:tc>
          <w:tcPr>
            <w:tcW w:w="1135" w:type="dxa"/>
            <w:tcBorders>
              <w:top w:val="single" w:color="auto" w:sz="4" w:space="0"/>
              <w:left w:val="nil"/>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2017年初</w:t>
            </w:r>
          </w:p>
        </w:tc>
        <w:tc>
          <w:tcPr>
            <w:tcW w:w="1560" w:type="dxa"/>
            <w:tcBorders>
              <w:top w:val="single" w:color="auto" w:sz="4" w:space="0"/>
              <w:left w:val="nil"/>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专利运营基金</w:t>
            </w:r>
          </w:p>
        </w:tc>
        <w:tc>
          <w:tcPr>
            <w:tcW w:w="1844" w:type="dxa"/>
            <w:tcBorders>
              <w:top w:val="single" w:color="auto" w:sz="4" w:space="0"/>
              <w:left w:val="nil"/>
              <w:bottom w:val="single" w:color="auto" w:sz="4" w:space="0"/>
              <w:right w:val="single" w:color="auto" w:sz="4" w:space="0"/>
            </w:tcBorders>
            <w:vAlign w:val="center"/>
          </w:tcPr>
          <w:p>
            <w:pPr>
              <w:jc w:val="left"/>
              <w:rPr>
                <w:rFonts w:ascii="仿宋_GB2312" w:eastAsia="仿宋_GB2312"/>
              </w:rPr>
            </w:pPr>
            <w:r>
              <w:rPr>
                <w:rFonts w:hint="eastAsia" w:ascii="仿宋_GB2312" w:eastAsia="仿宋_GB2312"/>
              </w:rPr>
              <w:t>专利运营引导资金1亿元。</w:t>
            </w:r>
          </w:p>
        </w:tc>
        <w:tc>
          <w:tcPr>
            <w:tcW w:w="2458" w:type="dxa"/>
            <w:tcBorders>
              <w:top w:val="single" w:color="auto" w:sz="4" w:space="0"/>
              <w:left w:val="nil"/>
              <w:bottom w:val="single" w:color="auto" w:sz="4" w:space="0"/>
              <w:right w:val="single" w:color="auto" w:sz="4" w:space="0"/>
            </w:tcBorders>
            <w:vAlign w:val="center"/>
          </w:tcPr>
          <w:p>
            <w:pPr>
              <w:jc w:val="left"/>
              <w:rPr>
                <w:rFonts w:ascii="仿宋_GB2312" w:eastAsia="仿宋_GB2312"/>
              </w:rPr>
            </w:pPr>
            <w:r>
              <w:rPr>
                <w:rFonts w:hint="eastAsia" w:ascii="仿宋_GB2312" w:eastAsia="仿宋_GB2312"/>
              </w:rPr>
              <w:t>智慧家居产业、化工橡胶产业和蓝色经济产业(以海洋生物医药、海工装备等为主，其他海洋产业作补充)。</w:t>
            </w:r>
          </w:p>
        </w:tc>
      </w:tr>
    </w:tbl>
    <w:p>
      <w:pPr>
        <w:rPr>
          <w:rFonts w:ascii="仿宋_GB2312" w:eastAsia="仿宋_GB2312"/>
          <w:sz w:val="32"/>
          <w:szCs w:val="32"/>
        </w:rPr>
      </w:pPr>
      <w:r>
        <w:rPr>
          <w:rFonts w:hint="eastAsia" w:ascii="宋体" w:hAnsi="宋体"/>
          <w:b/>
          <w:bCs/>
        </w:rPr>
        <w:t>备注：</w:t>
      </w:r>
      <w:r>
        <w:rPr>
          <w:rFonts w:hint="eastAsia" w:ascii="仿宋_GB2312" w:eastAsia="仿宋_GB2312"/>
        </w:rPr>
        <w:t>各省市知识产权运营基金信息来源于国家知识产权局以及地方知识产权局网站。</w:t>
      </w:r>
    </w:p>
    <w:p>
      <w:pPr>
        <w:ind w:firstLine="640" w:firstLineChars="200"/>
        <w:rPr>
          <w:rFonts w:ascii="黑体" w:hAnsi="黑体" w:eastAsia="黑体"/>
          <w:sz w:val="32"/>
          <w:szCs w:val="32"/>
        </w:rPr>
      </w:pPr>
      <w:r>
        <w:rPr>
          <w:rFonts w:hint="eastAsia" w:ascii="黑体" w:hAnsi="黑体" w:eastAsia="黑体"/>
          <w:sz w:val="32"/>
          <w:szCs w:val="32"/>
        </w:rPr>
        <w:t>二、基金设立思路</w:t>
      </w:r>
    </w:p>
    <w:p>
      <w:pPr>
        <w:spacing w:line="580" w:lineRule="exact"/>
        <w:ind w:firstLine="540"/>
        <w:rPr>
          <w:rFonts w:ascii="仿宋_GB2312" w:hAnsi="宋体" w:eastAsia="仿宋_GB2312"/>
          <w:spacing w:val="10"/>
          <w:kern w:val="0"/>
          <w:sz w:val="32"/>
          <w:szCs w:val="32"/>
        </w:rPr>
      </w:pPr>
      <w:r>
        <w:rPr>
          <w:rFonts w:hint="eastAsia" w:ascii="仿宋_GB2312" w:hAnsi="宋体" w:eastAsia="仿宋_GB2312"/>
          <w:spacing w:val="10"/>
          <w:kern w:val="0"/>
          <w:sz w:val="32"/>
          <w:szCs w:val="32"/>
        </w:rPr>
        <w:t>(一)基金设立方式</w:t>
      </w:r>
    </w:p>
    <w:p>
      <w:pPr>
        <w:spacing w:line="580" w:lineRule="exact"/>
        <w:ind w:firstLine="540"/>
        <w:rPr>
          <w:rFonts w:ascii="仿宋_GB2312" w:hAnsi="宋体" w:eastAsia="仿宋_GB2312"/>
          <w:spacing w:val="10"/>
          <w:kern w:val="0"/>
          <w:sz w:val="32"/>
          <w:szCs w:val="32"/>
        </w:rPr>
      </w:pPr>
      <w:r>
        <w:rPr>
          <w:rFonts w:hint="eastAsia" w:ascii="仿宋_GB2312" w:hAnsi="宋体" w:eastAsia="仿宋_GB2312"/>
          <w:spacing w:val="10"/>
          <w:kern w:val="0"/>
          <w:sz w:val="32"/>
          <w:szCs w:val="32"/>
        </w:rPr>
        <w:t>深圳市知识产权运营基金由政府、社会资本、基金管理人共同参与，以信托契约形式设立。深圳市市场监督管理局代表政府作为资金委托方并行使监督管理职责，确定资金的使用方向；受托管理机构为基金管理人，向社会公开遴选产生，负责基金的日常运作，保障资金的有效使用。原则上基金管理人须是在深圳注册的国有控股且由证监会批准开展特定客户资产管理计划的持牌金融机构的基金管理公司或资产管理公司。</w:t>
      </w:r>
    </w:p>
    <w:p>
      <w:pPr>
        <w:spacing w:line="580" w:lineRule="exact"/>
        <w:ind w:firstLine="540"/>
        <w:rPr>
          <w:rFonts w:ascii="仿宋_GB2312" w:hAnsi="宋体" w:eastAsia="仿宋_GB2312"/>
          <w:spacing w:val="10"/>
          <w:kern w:val="0"/>
          <w:sz w:val="32"/>
          <w:szCs w:val="32"/>
        </w:rPr>
      </w:pPr>
      <w:r>
        <w:rPr>
          <w:rFonts w:hint="eastAsia" w:ascii="仿宋_GB2312" w:hAnsi="宋体" w:eastAsia="仿宋_GB2312"/>
          <w:spacing w:val="10"/>
          <w:kern w:val="0"/>
          <w:sz w:val="32"/>
          <w:szCs w:val="32"/>
        </w:rPr>
        <w:t>（二）基金规模</w:t>
      </w:r>
    </w:p>
    <w:p>
      <w:pPr>
        <w:spacing w:line="580" w:lineRule="exact"/>
        <w:ind w:firstLine="540"/>
        <w:rPr>
          <w:rFonts w:ascii="仿宋_GB2312" w:hAnsi="宋体" w:eastAsia="仿宋_GB2312"/>
          <w:spacing w:val="10"/>
          <w:kern w:val="0"/>
          <w:sz w:val="32"/>
          <w:szCs w:val="32"/>
        </w:rPr>
      </w:pPr>
      <w:r>
        <w:rPr>
          <w:rFonts w:hint="eastAsia" w:ascii="仿宋_GB2312" w:hAnsi="宋体" w:eastAsia="仿宋_GB2312"/>
          <w:spacing w:val="10"/>
          <w:kern w:val="0"/>
          <w:sz w:val="32"/>
          <w:szCs w:val="32"/>
        </w:rPr>
        <w:t xml:space="preserve"> 深圳市知识产权运营基金的首期规模:以深圳市市场监督管理局受托管理的中央服务业专项引导资金7000万元为委托资金的基础，定向吸引社会资金的投入和参与，争取首期基金规模达2.1亿元。根据试行的实际成效，后期将逐步增加基金的规模。</w:t>
      </w:r>
    </w:p>
    <w:p>
      <w:pPr>
        <w:spacing w:line="580" w:lineRule="exact"/>
        <w:ind w:firstLine="540"/>
        <w:rPr>
          <w:rFonts w:ascii="仿宋_GB2312" w:hAnsi="宋体" w:eastAsia="仿宋_GB2312"/>
          <w:spacing w:val="10"/>
          <w:kern w:val="0"/>
          <w:sz w:val="32"/>
          <w:szCs w:val="32"/>
        </w:rPr>
      </w:pPr>
      <w:r>
        <w:rPr>
          <w:rFonts w:hint="eastAsia" w:ascii="仿宋_GB2312" w:hAnsi="宋体" w:eastAsia="仿宋_GB2312"/>
          <w:spacing w:val="10"/>
          <w:kern w:val="0"/>
          <w:sz w:val="32"/>
          <w:szCs w:val="32"/>
        </w:rPr>
        <w:t>（三）基金管理人</w:t>
      </w:r>
    </w:p>
    <w:p>
      <w:pPr>
        <w:spacing w:line="580" w:lineRule="exact"/>
        <w:ind w:firstLine="680" w:firstLineChars="200"/>
        <w:rPr>
          <w:rFonts w:ascii="仿宋_GB2312" w:hAnsi="宋体" w:eastAsia="仿宋_GB2312"/>
          <w:spacing w:val="10"/>
          <w:kern w:val="0"/>
          <w:sz w:val="32"/>
          <w:szCs w:val="32"/>
        </w:rPr>
      </w:pPr>
      <w:r>
        <w:rPr>
          <w:rFonts w:hint="eastAsia" w:ascii="仿宋_GB2312" w:hAnsi="宋体" w:eastAsia="仿宋_GB2312"/>
          <w:spacing w:val="10"/>
          <w:kern w:val="0"/>
          <w:sz w:val="32"/>
          <w:szCs w:val="32"/>
        </w:rPr>
        <w:t>基金设置基金管理人，基金管理人负责基金日常运营管理工作。</w:t>
      </w:r>
    </w:p>
    <w:p>
      <w:pPr>
        <w:spacing w:line="580" w:lineRule="exact"/>
        <w:ind w:firstLine="540"/>
        <w:rPr>
          <w:rFonts w:ascii="仿宋_GB2312" w:hAnsi="宋体" w:eastAsia="仿宋_GB2312"/>
          <w:spacing w:val="10"/>
          <w:kern w:val="0"/>
          <w:sz w:val="32"/>
          <w:szCs w:val="32"/>
        </w:rPr>
      </w:pPr>
      <w:r>
        <w:rPr>
          <w:rFonts w:hint="eastAsia" w:ascii="仿宋_GB2312" w:hAnsi="宋体" w:eastAsia="仿宋_GB2312"/>
          <w:spacing w:val="10"/>
          <w:kern w:val="0"/>
          <w:sz w:val="32"/>
          <w:szCs w:val="32"/>
        </w:rPr>
        <w:t>深圳市市场监督管理局制定深圳市知识产权运营基金管理人遴选方案，向社会公开遴选基金管理人</w:t>
      </w:r>
      <w:bookmarkStart w:id="0" w:name="_Hlk14159764"/>
      <w:r>
        <w:rPr>
          <w:rFonts w:hint="eastAsia" w:ascii="仿宋_GB2312" w:hAnsi="宋体" w:eastAsia="仿宋_GB2312"/>
          <w:spacing w:val="10"/>
          <w:kern w:val="0"/>
          <w:sz w:val="32"/>
          <w:szCs w:val="32"/>
        </w:rPr>
        <w:t>。</w:t>
      </w:r>
      <w:bookmarkEnd w:id="0"/>
      <w:r>
        <w:rPr>
          <w:rFonts w:hint="eastAsia" w:ascii="仿宋_GB2312" w:hAnsi="宋体" w:eastAsia="仿宋_GB2312"/>
          <w:spacing w:val="10"/>
          <w:kern w:val="0"/>
          <w:sz w:val="32"/>
          <w:szCs w:val="32"/>
        </w:rPr>
        <w:t>深圳市市场监督管理局组织专家对基金管理人的申报方案进行评审，拟定基金管理人人选，报市政府审定后产生。</w:t>
      </w:r>
    </w:p>
    <w:p>
      <w:pPr>
        <w:spacing w:line="580" w:lineRule="exact"/>
        <w:ind w:firstLine="390"/>
        <w:rPr>
          <w:rFonts w:ascii="仿宋_GB2312" w:hAnsi="宋体" w:eastAsia="仿宋_GB2312"/>
          <w:spacing w:val="10"/>
          <w:kern w:val="0"/>
          <w:sz w:val="32"/>
          <w:szCs w:val="32"/>
        </w:rPr>
      </w:pPr>
      <w:r>
        <w:rPr>
          <w:rFonts w:hint="eastAsia" w:ascii="仿宋_GB2312" w:hAnsi="宋体" w:eastAsia="仿宋_GB2312"/>
          <w:spacing w:val="10"/>
          <w:kern w:val="0"/>
          <w:sz w:val="32"/>
          <w:szCs w:val="32"/>
        </w:rPr>
        <w:t xml:space="preserve">  （四）基金运作模式</w:t>
      </w:r>
    </w:p>
    <w:p>
      <w:pPr>
        <w:spacing w:line="580" w:lineRule="exact"/>
        <w:ind w:firstLine="680" w:firstLineChars="200"/>
        <w:rPr>
          <w:rFonts w:ascii="仿宋_GB2312" w:hAnsi="宋体" w:eastAsia="仿宋_GB2312"/>
          <w:spacing w:val="10"/>
          <w:kern w:val="0"/>
          <w:sz w:val="32"/>
          <w:szCs w:val="32"/>
        </w:rPr>
      </w:pPr>
      <w:r>
        <w:rPr>
          <w:rFonts w:hint="eastAsia" w:ascii="仿宋_GB2312" w:hAnsi="宋体" w:eastAsia="仿宋_GB2312"/>
          <w:spacing w:val="10"/>
          <w:kern w:val="0"/>
          <w:sz w:val="32"/>
          <w:szCs w:val="32"/>
        </w:rPr>
        <w:t>1.基金存续期限和退出清算</w:t>
      </w:r>
    </w:p>
    <w:p>
      <w:pPr>
        <w:spacing w:line="580" w:lineRule="exact"/>
        <w:ind w:firstLine="680" w:firstLineChars="200"/>
        <w:rPr>
          <w:rFonts w:ascii="仿宋_GB2312" w:hAnsi="宋体" w:eastAsia="仿宋_GB2312"/>
          <w:spacing w:val="10"/>
          <w:kern w:val="0"/>
          <w:sz w:val="32"/>
          <w:szCs w:val="32"/>
        </w:rPr>
      </w:pPr>
      <w:r>
        <w:rPr>
          <w:rFonts w:hint="eastAsia" w:ascii="仿宋_GB2312" w:hAnsi="宋体" w:eastAsia="仿宋_GB2312"/>
          <w:spacing w:val="10"/>
          <w:kern w:val="0"/>
          <w:sz w:val="32"/>
          <w:szCs w:val="32"/>
        </w:rPr>
        <w:t>深圳市市场监督管理局与基金管理人签订协议，对委托资金进行管理。同时要求基金管理人对委托资金按照1：2配资，吸引社会资金投入，完成资金募集。委托管理期限与及基金存续期限一致，原则上为10年，如基金运行良好，可在存续期满前一年，经深圳市市场监督管理局审议通过后，延续基金存续期。每次延续不超过10年，延续次数不超过2次。当基金到期并决定不再续期时，将由深圳市市场监督管理局负责组织基金清算组，对基金财产进行清算和分配。</w:t>
      </w:r>
    </w:p>
    <w:p>
      <w:pPr>
        <w:spacing w:line="580" w:lineRule="exact"/>
        <w:ind w:firstLine="680" w:firstLineChars="200"/>
        <w:rPr>
          <w:rFonts w:ascii="仿宋_GB2312" w:hAnsi="宋体" w:eastAsia="仿宋_GB2312"/>
          <w:spacing w:val="10"/>
          <w:kern w:val="0"/>
          <w:sz w:val="32"/>
          <w:szCs w:val="32"/>
        </w:rPr>
      </w:pPr>
      <w:r>
        <w:rPr>
          <w:rFonts w:hint="eastAsia" w:ascii="仿宋_GB2312" w:hAnsi="宋体" w:eastAsia="仿宋_GB2312"/>
          <w:spacing w:val="10"/>
          <w:kern w:val="0"/>
          <w:sz w:val="32"/>
          <w:szCs w:val="32"/>
        </w:rPr>
        <w:t>2.基金投资对象</w:t>
      </w:r>
    </w:p>
    <w:p>
      <w:pPr>
        <w:spacing w:line="580" w:lineRule="exact"/>
        <w:ind w:firstLine="680" w:firstLineChars="200"/>
        <w:rPr>
          <w:rFonts w:ascii="仿宋_GB2312" w:hAnsi="宋体" w:eastAsia="仿宋_GB2312"/>
          <w:spacing w:val="10"/>
          <w:kern w:val="0"/>
          <w:sz w:val="32"/>
          <w:szCs w:val="32"/>
        </w:rPr>
      </w:pPr>
      <w:r>
        <w:rPr>
          <w:rFonts w:hint="eastAsia" w:ascii="仿宋_GB2312" w:hAnsi="宋体" w:eastAsia="仿宋_GB2312"/>
          <w:spacing w:val="10"/>
          <w:kern w:val="0"/>
          <w:sz w:val="32"/>
          <w:szCs w:val="32"/>
        </w:rPr>
        <w:t>深圳市知识产权运营基金根据我市产业发展实际情况，重点投向新一代信息技术、高端装备制造、绿色低碳、生物医药、数字经济、新材料、海洋经济等知识产权密集型产业。重点支持产业转型升级，探索产业知识产权运营和专利技术成果转化的商业模式。</w:t>
      </w:r>
    </w:p>
    <w:p>
      <w:pPr>
        <w:spacing w:line="580" w:lineRule="exact"/>
        <w:ind w:firstLine="680" w:firstLineChars="200"/>
        <w:rPr>
          <w:rFonts w:ascii="仿宋_GB2312" w:hAnsi="宋体" w:eastAsia="仿宋_GB2312"/>
          <w:spacing w:val="10"/>
          <w:kern w:val="0"/>
          <w:sz w:val="32"/>
          <w:szCs w:val="32"/>
        </w:rPr>
      </w:pPr>
      <w:r>
        <w:rPr>
          <w:rFonts w:hint="eastAsia" w:ascii="仿宋_GB2312" w:hAnsi="宋体" w:eastAsia="仿宋_GB2312"/>
          <w:spacing w:val="10"/>
          <w:kern w:val="0"/>
          <w:sz w:val="32"/>
          <w:szCs w:val="32"/>
        </w:rPr>
        <w:t>深圳市知识产权运营基金应按照党中央、国务院《关于支持深圳建设中国特色社会主义先行示范区的意见》的要求，推动知识产权证券化工作，发行证券化产品。</w:t>
      </w:r>
    </w:p>
    <w:p>
      <w:pPr>
        <w:spacing w:line="580" w:lineRule="exact"/>
        <w:ind w:firstLine="680" w:firstLineChars="200"/>
        <w:rPr>
          <w:rFonts w:ascii="仿宋_GB2312" w:hAnsi="宋体" w:eastAsia="仿宋_GB2312"/>
          <w:spacing w:val="10"/>
          <w:kern w:val="0"/>
          <w:sz w:val="32"/>
          <w:szCs w:val="32"/>
        </w:rPr>
      </w:pPr>
      <w:r>
        <w:rPr>
          <w:rFonts w:hint="eastAsia" w:ascii="仿宋_GB2312" w:hAnsi="宋体" w:eastAsia="仿宋_GB2312"/>
          <w:spacing w:val="10"/>
          <w:kern w:val="0"/>
          <w:sz w:val="32"/>
          <w:szCs w:val="32"/>
        </w:rPr>
        <w:t>3.管理费用以及收益处分</w:t>
      </w:r>
    </w:p>
    <w:p>
      <w:pPr>
        <w:spacing w:line="580" w:lineRule="exact"/>
        <w:ind w:firstLine="680" w:firstLineChars="200"/>
        <w:rPr>
          <w:rFonts w:ascii="仿宋_GB2312" w:hAnsi="宋体" w:eastAsia="仿宋_GB2312"/>
          <w:spacing w:val="10"/>
          <w:kern w:val="0"/>
          <w:sz w:val="32"/>
          <w:szCs w:val="32"/>
        </w:rPr>
      </w:pPr>
      <w:r>
        <w:rPr>
          <w:rFonts w:hint="eastAsia" w:ascii="仿宋_GB2312" w:hAnsi="宋体" w:eastAsia="仿宋_GB2312"/>
          <w:spacing w:val="10"/>
          <w:kern w:val="0"/>
          <w:sz w:val="32"/>
          <w:szCs w:val="32"/>
        </w:rPr>
        <w:t>基金管理费：基金管理人按运营基金的实际募集到位规模，每年按2%收取管理费用。上述费用的计提出自基金资产，市财政不承担基金运作期间任何费用。</w:t>
      </w:r>
    </w:p>
    <w:p>
      <w:pPr>
        <w:spacing w:line="580" w:lineRule="exact"/>
        <w:ind w:firstLine="680" w:firstLineChars="200"/>
        <w:rPr>
          <w:rFonts w:ascii="仿宋_GB2312" w:hAnsi="宋体" w:eastAsia="仿宋_GB2312"/>
          <w:spacing w:val="10"/>
          <w:kern w:val="0"/>
          <w:sz w:val="32"/>
          <w:szCs w:val="32"/>
        </w:rPr>
      </w:pPr>
      <w:r>
        <w:rPr>
          <w:rFonts w:hint="eastAsia" w:ascii="仿宋_GB2312" w:hAnsi="宋体" w:eastAsia="仿宋_GB2312"/>
          <w:spacing w:val="10"/>
          <w:kern w:val="0"/>
          <w:sz w:val="32"/>
          <w:szCs w:val="32"/>
        </w:rPr>
        <w:t>基金收益分配：在基金年化收益率超过约定基准收益率时，可对基金管理机构进行超额收益奖励。超额投资收益由基金全部投资者和基金管理人按8:2的比例进行分配，即：80%归基金全部投资者所有，20%归基金管理人。</w:t>
      </w:r>
    </w:p>
    <w:p>
      <w:pPr>
        <w:spacing w:line="580" w:lineRule="exact"/>
        <w:ind w:firstLine="680" w:firstLineChars="200"/>
        <w:rPr>
          <w:rFonts w:hint="eastAsia" w:ascii="仿宋_GB2312" w:hAnsi="宋体" w:eastAsia="仿宋_GB2312"/>
          <w:spacing w:val="10"/>
          <w:kern w:val="0"/>
          <w:sz w:val="32"/>
          <w:szCs w:val="32"/>
        </w:rPr>
      </w:pPr>
      <w:r>
        <w:rPr>
          <w:rFonts w:hint="eastAsia" w:ascii="仿宋_GB2312" w:hAnsi="宋体" w:eastAsia="仿宋_GB2312"/>
          <w:spacing w:val="10"/>
          <w:kern w:val="0"/>
          <w:sz w:val="32"/>
          <w:szCs w:val="32"/>
        </w:rPr>
        <w:t>具体基准收益率及收益分配细则将根据委托协议进一步约定。</w:t>
      </w:r>
    </w:p>
    <w:p>
      <w:pPr>
        <w:numPr>
          <w:ilvl w:val="-1"/>
          <w:numId w:val="0"/>
        </w:numPr>
        <w:spacing w:line="580" w:lineRule="exact"/>
        <w:ind w:firstLine="680" w:firstLineChars="200"/>
        <w:rPr>
          <w:rFonts w:hint="eastAsia" w:ascii="仿宋_GB2312" w:hAnsi="宋体" w:eastAsia="仿宋_GB2312"/>
          <w:spacing w:val="10"/>
          <w:kern w:val="0"/>
          <w:sz w:val="32"/>
          <w:szCs w:val="32"/>
          <w:lang w:val="en-US" w:eastAsia="zh-CN"/>
        </w:rPr>
      </w:pPr>
      <w:r>
        <w:rPr>
          <w:rFonts w:hint="eastAsia" w:ascii="仿宋_GB2312" w:hAnsi="宋体" w:eastAsia="仿宋_GB2312"/>
          <w:spacing w:val="10"/>
          <w:kern w:val="0"/>
          <w:sz w:val="32"/>
          <w:szCs w:val="32"/>
          <w:lang w:val="en-US" w:eastAsia="zh-CN"/>
        </w:rPr>
        <w:t>4.基金管理人遴选方案</w:t>
      </w:r>
    </w:p>
    <w:p>
      <w:pPr>
        <w:numPr>
          <w:ilvl w:val="-1"/>
          <w:numId w:val="0"/>
        </w:numPr>
        <w:spacing w:line="580" w:lineRule="exact"/>
        <w:ind w:firstLine="540"/>
        <w:rPr>
          <w:rFonts w:hint="eastAsia" w:ascii="仿宋_GB2312" w:hAnsi="宋体" w:eastAsia="仿宋_GB2312"/>
          <w:spacing w:val="10"/>
          <w:kern w:val="0"/>
          <w:sz w:val="32"/>
          <w:szCs w:val="32"/>
          <w:lang w:eastAsia="zh-CN"/>
        </w:rPr>
      </w:pPr>
      <w:r>
        <w:rPr>
          <w:rFonts w:hint="eastAsia" w:ascii="仿宋_GB2312" w:hAnsi="宋体" w:eastAsia="仿宋_GB2312"/>
          <w:spacing w:val="10"/>
          <w:kern w:val="0"/>
          <w:sz w:val="32"/>
          <w:szCs w:val="32"/>
          <w:lang w:val="en-US" w:eastAsia="zh-CN"/>
        </w:rPr>
        <w:t>（1）遴选方式：</w:t>
      </w:r>
      <w:r>
        <w:rPr>
          <w:rFonts w:hint="eastAsia" w:ascii="仿宋_GB2312" w:hAnsi="宋体" w:eastAsia="仿宋_GB2312"/>
          <w:spacing w:val="10"/>
          <w:sz w:val="32"/>
          <w:szCs w:val="32"/>
        </w:rPr>
        <w:t>在市局门户网站发布遴选公告</w:t>
      </w:r>
      <w:r>
        <w:rPr>
          <w:rFonts w:hint="eastAsia" w:ascii="仿宋_GB2312" w:hAnsi="宋体" w:eastAsia="仿宋_GB2312"/>
          <w:spacing w:val="10"/>
          <w:kern w:val="0"/>
          <w:sz w:val="32"/>
          <w:szCs w:val="32"/>
          <w:lang w:eastAsia="zh-CN"/>
        </w:rPr>
        <w:t>，受理申报材料；</w:t>
      </w:r>
    </w:p>
    <w:p>
      <w:pPr>
        <w:numPr>
          <w:ilvl w:val="-1"/>
          <w:numId w:val="0"/>
        </w:numPr>
        <w:spacing w:line="580" w:lineRule="exact"/>
        <w:ind w:firstLine="540" w:firstLineChars="0"/>
        <w:rPr>
          <w:rFonts w:hint="eastAsia" w:ascii="仿宋_GB2312" w:hAnsi="宋体" w:eastAsia="仿宋_GB2312"/>
          <w:spacing w:val="10"/>
          <w:kern w:val="0"/>
          <w:sz w:val="32"/>
          <w:szCs w:val="32"/>
          <w:lang w:eastAsia="zh-CN"/>
        </w:rPr>
      </w:pPr>
      <w:r>
        <w:rPr>
          <w:rFonts w:hint="eastAsia" w:ascii="仿宋_GB2312" w:hAnsi="宋体" w:eastAsia="仿宋_GB2312"/>
          <w:spacing w:val="10"/>
          <w:kern w:val="0"/>
          <w:sz w:val="32"/>
          <w:szCs w:val="32"/>
          <w:lang w:eastAsia="zh-CN"/>
        </w:rPr>
        <w:t>（</w:t>
      </w:r>
      <w:r>
        <w:rPr>
          <w:rFonts w:hint="eastAsia" w:ascii="仿宋_GB2312" w:hAnsi="宋体" w:eastAsia="仿宋_GB2312"/>
          <w:spacing w:val="10"/>
          <w:kern w:val="0"/>
          <w:sz w:val="32"/>
          <w:szCs w:val="32"/>
          <w:lang w:val="en-US" w:eastAsia="zh-CN"/>
        </w:rPr>
        <w:t>2</w:t>
      </w:r>
      <w:r>
        <w:rPr>
          <w:rFonts w:hint="eastAsia" w:ascii="仿宋_GB2312" w:hAnsi="宋体" w:eastAsia="仿宋_GB2312"/>
          <w:spacing w:val="10"/>
          <w:kern w:val="0"/>
          <w:sz w:val="32"/>
          <w:szCs w:val="32"/>
          <w:lang w:eastAsia="zh-CN"/>
        </w:rPr>
        <w:t>）确定方式：</w:t>
      </w:r>
      <w:r>
        <w:rPr>
          <w:rFonts w:hint="eastAsia" w:ascii="仿宋_GB2312" w:hAnsi="宋体" w:eastAsia="仿宋_GB2312"/>
          <w:spacing w:val="10"/>
          <w:sz w:val="32"/>
          <w:szCs w:val="32"/>
        </w:rPr>
        <w:t>基金管理人的遴选由专家评审确定，全体专家按照评分标准评分，按照得分高低确定入选名单,总得分最高者确定为基金管理人初步人选，只有一家单位申报的，经专家评审，认为申报人符合基金管理人条件的，确定为基金管理人初步人选。初步人选确定后，经市市场监督管理局审议</w:t>
      </w:r>
      <w:r>
        <w:rPr>
          <w:rFonts w:hint="eastAsia" w:ascii="仿宋_GB2312" w:hAnsi="宋体" w:eastAsia="仿宋_GB2312"/>
          <w:spacing w:val="10"/>
          <w:kern w:val="0"/>
          <w:sz w:val="32"/>
          <w:szCs w:val="32"/>
          <w:lang w:eastAsia="zh-CN"/>
        </w:rPr>
        <w:t>后</w:t>
      </w:r>
      <w:r>
        <w:rPr>
          <w:rFonts w:hint="eastAsia" w:ascii="仿宋_GB2312" w:hAnsi="宋体" w:eastAsia="仿宋_GB2312"/>
          <w:spacing w:val="10"/>
          <w:sz w:val="32"/>
          <w:szCs w:val="32"/>
        </w:rPr>
        <w:t>，报市政府审定</w:t>
      </w:r>
      <w:r>
        <w:rPr>
          <w:rFonts w:hint="eastAsia" w:ascii="仿宋_GB2312" w:hAnsi="宋体" w:eastAsia="仿宋_GB2312"/>
          <w:spacing w:val="10"/>
          <w:kern w:val="0"/>
          <w:sz w:val="32"/>
          <w:szCs w:val="32"/>
          <w:lang w:eastAsia="zh-CN"/>
        </w:rPr>
        <w:t>；</w:t>
      </w:r>
    </w:p>
    <w:p>
      <w:pPr>
        <w:spacing w:line="580" w:lineRule="exact"/>
        <w:ind w:firstLine="540" w:firstLineChars="0"/>
        <w:rPr>
          <w:rFonts w:hint="eastAsia" w:ascii="仿宋_GB2312" w:hAnsi="宋体" w:eastAsia="仿宋_GB2312"/>
          <w:spacing w:val="10"/>
          <w:sz w:val="32"/>
          <w:szCs w:val="32"/>
        </w:rPr>
      </w:pPr>
      <w:r>
        <w:rPr>
          <w:rFonts w:hint="eastAsia" w:ascii="仿宋_GB2312" w:hAnsi="宋体" w:eastAsia="仿宋_GB2312"/>
          <w:spacing w:val="10"/>
          <w:kern w:val="0"/>
          <w:sz w:val="32"/>
          <w:szCs w:val="32"/>
          <w:lang w:eastAsia="zh-CN"/>
        </w:rPr>
        <w:t>（</w:t>
      </w:r>
      <w:r>
        <w:rPr>
          <w:rFonts w:hint="eastAsia" w:ascii="仿宋_GB2312" w:hAnsi="宋体" w:eastAsia="仿宋_GB2312"/>
          <w:spacing w:val="10"/>
          <w:kern w:val="0"/>
          <w:sz w:val="32"/>
          <w:szCs w:val="32"/>
          <w:lang w:val="en-US" w:eastAsia="zh-CN"/>
        </w:rPr>
        <w:t>3</w:t>
      </w:r>
      <w:r>
        <w:rPr>
          <w:rFonts w:hint="eastAsia" w:ascii="仿宋_GB2312" w:hAnsi="宋体" w:eastAsia="仿宋_GB2312"/>
          <w:spacing w:val="10"/>
          <w:kern w:val="0"/>
          <w:sz w:val="32"/>
          <w:szCs w:val="32"/>
          <w:lang w:eastAsia="zh-CN"/>
        </w:rPr>
        <w:t>）评审专家：</w:t>
      </w:r>
      <w:r>
        <w:rPr>
          <w:rFonts w:hint="eastAsia" w:ascii="仿宋_GB2312" w:hAnsi="宋体" w:eastAsia="仿宋_GB2312"/>
          <w:spacing w:val="10"/>
          <w:sz w:val="32"/>
          <w:szCs w:val="32"/>
        </w:rPr>
        <w:t>专家从各级政府部门、金融机构、科研机构、高等院校中产生</w:t>
      </w:r>
      <w:r>
        <w:rPr>
          <w:rFonts w:hint="eastAsia" w:ascii="仿宋_GB2312" w:hAnsi="宋体" w:eastAsia="仿宋_GB2312"/>
          <w:spacing w:val="10"/>
          <w:kern w:val="0"/>
          <w:sz w:val="32"/>
          <w:szCs w:val="32"/>
          <w:lang w:eastAsia="zh-CN"/>
        </w:rPr>
        <w:t>。</w:t>
      </w:r>
      <w:r>
        <w:rPr>
          <w:rFonts w:hint="eastAsia" w:ascii="仿宋_GB2312" w:hAnsi="宋体" w:eastAsia="仿宋_GB2312"/>
          <w:spacing w:val="10"/>
          <w:sz w:val="32"/>
          <w:szCs w:val="32"/>
        </w:rPr>
        <w:t>专家人数为9人，</w:t>
      </w:r>
      <w:r>
        <w:rPr>
          <w:rFonts w:hint="eastAsia" w:ascii="仿宋_GB2312" w:hAnsi="宋体" w:eastAsia="仿宋_GB2312"/>
          <w:spacing w:val="10"/>
          <w:kern w:val="0"/>
          <w:sz w:val="32"/>
          <w:szCs w:val="32"/>
          <w:lang w:eastAsia="zh-CN"/>
        </w:rPr>
        <w:t>按流程</w:t>
      </w:r>
      <w:r>
        <w:rPr>
          <w:rFonts w:hint="eastAsia" w:ascii="仿宋_GB2312" w:hAnsi="宋体" w:eastAsia="仿宋_GB2312"/>
          <w:spacing w:val="10"/>
          <w:sz w:val="32"/>
          <w:szCs w:val="32"/>
        </w:rPr>
        <w:t>从深圳市知识产权专家库中</w:t>
      </w:r>
      <w:r>
        <w:rPr>
          <w:rFonts w:hint="eastAsia" w:ascii="仿宋_GB2312" w:hAnsi="宋体" w:eastAsia="仿宋_GB2312"/>
          <w:spacing w:val="10"/>
          <w:kern w:val="0"/>
          <w:sz w:val="32"/>
          <w:szCs w:val="32"/>
          <w:lang w:eastAsia="zh-CN"/>
        </w:rPr>
        <w:t>抽取。</w:t>
      </w:r>
    </w:p>
    <w:p>
      <w:pPr>
        <w:ind w:firstLine="640" w:firstLineChars="200"/>
        <w:rPr>
          <w:rFonts w:ascii="黑体" w:hAnsi="黑体" w:eastAsia="黑体"/>
          <w:sz w:val="32"/>
          <w:szCs w:val="32"/>
        </w:rPr>
      </w:pPr>
      <w:r>
        <w:rPr>
          <w:rFonts w:hint="eastAsia" w:ascii="黑体" w:hAnsi="黑体" w:eastAsia="黑体"/>
          <w:sz w:val="32"/>
          <w:szCs w:val="32"/>
        </w:rPr>
        <w:t>三、基金设立进度安排</w:t>
      </w:r>
    </w:p>
    <w:p>
      <w:pPr>
        <w:ind w:left="140" w:firstLine="420"/>
        <w:rPr>
          <w:rFonts w:ascii="楷体_GB2312" w:hAnsi="仿宋" w:eastAsia="楷体_GB2312"/>
          <w:b/>
          <w:bCs/>
          <w:sz w:val="32"/>
          <w:szCs w:val="32"/>
        </w:rPr>
      </w:pPr>
      <w:r>
        <w:rPr>
          <w:rFonts w:hint="eastAsia" w:ascii="楷体_GB2312" w:hAnsi="仿宋" w:eastAsia="楷体_GB2312"/>
          <w:b/>
          <w:bCs/>
          <w:sz w:val="32"/>
          <w:szCs w:val="32"/>
        </w:rPr>
        <w:t>（一）准备阶段(2019年1月至2019年12月)</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由深圳市知识产权主管部门牵头制定</w:t>
      </w:r>
      <w:r>
        <w:rPr>
          <w:rFonts w:hint="eastAsia" w:ascii="仿宋_GB2312" w:hAnsi="宋体" w:eastAsia="仿宋_GB2312"/>
          <w:spacing w:val="10"/>
          <w:sz w:val="32"/>
          <w:szCs w:val="32"/>
        </w:rPr>
        <w:t>深圳市知识产权运营基金管理办法</w:t>
      </w:r>
      <w:r>
        <w:rPr>
          <w:rFonts w:hint="eastAsia" w:ascii="仿宋_GB2312" w:hAnsi="仿宋" w:eastAsia="仿宋_GB2312"/>
          <w:sz w:val="32"/>
          <w:szCs w:val="32"/>
        </w:rPr>
        <w:t>，明确基金设立方式、基金规模、基金管理人产生方式、职责分工、基金运作模式、基金风险控制及监督管理等事宜。按照深圳市政府、市财政局的有关规定，正式提出设立申请。公开遴选深圳市有丰富基金管理经验、国有控股的基金管理公司，对市政府的财政资金进行严格管理，保证按约定开展知识产权运营。深圳市财政局以及相关部门尽快下达知识产权运营基金，完成首期资金投入，确保2019年底前完成深圳市知识产权运营基金的设立。</w:t>
      </w:r>
    </w:p>
    <w:p>
      <w:pPr>
        <w:ind w:left="140" w:firstLine="420"/>
        <w:rPr>
          <w:rFonts w:ascii="楷体_GB2312" w:hAnsi="仿宋" w:eastAsia="楷体_GB2312"/>
          <w:b/>
          <w:bCs/>
          <w:sz w:val="32"/>
          <w:szCs w:val="32"/>
        </w:rPr>
      </w:pPr>
      <w:r>
        <w:rPr>
          <w:rFonts w:hint="eastAsia" w:ascii="楷体_GB2312" w:hAnsi="仿宋" w:eastAsia="楷体_GB2312"/>
          <w:b/>
          <w:bCs/>
          <w:sz w:val="32"/>
          <w:szCs w:val="32"/>
        </w:rPr>
        <w:t>（二）投资与持续募资阶段(2020年1月至2020年12月)</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开展知识产权运营项目立项、市场调研、资产投资等前期基础工作。在重点产业领域，基金管理公司选取若干投资方向，开展知识产权运营。构建深圳重点产业专利池，投资、孵化一批具创新能力与投资潜力的项目与企业。在完成首期募集的基础上，持续争取其它政策性资金、产业资本、母基金及社会资本的投入，完成基金总规模的募集。</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开展知识产权证券化试点，运营基金作为主体，开展专利运营，并通过运营收费许可权作为债权在深交所发行证券化产品。</w:t>
      </w:r>
    </w:p>
    <w:p>
      <w:pPr>
        <w:ind w:left="140" w:firstLine="420"/>
        <w:rPr>
          <w:rFonts w:ascii="楷体_GB2312" w:hAnsi="仿宋" w:eastAsia="楷体_GB2312"/>
          <w:b/>
          <w:bCs/>
          <w:sz w:val="32"/>
          <w:szCs w:val="32"/>
        </w:rPr>
      </w:pPr>
      <w:r>
        <w:rPr>
          <w:rFonts w:hint="eastAsia" w:ascii="楷体_GB2312" w:hAnsi="仿宋" w:eastAsia="楷体_GB2312"/>
          <w:b/>
          <w:bCs/>
          <w:sz w:val="32"/>
          <w:szCs w:val="32"/>
        </w:rPr>
        <w:t>（三）全面运作阶段(2021年以后)</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基金通过前期运营，获得现金流收入后，以市场化方式退出前期投资的成熟项目，为投资人获取投资回报。各项政策性资金，将按照国家财政、市财政政策对</w:t>
      </w:r>
      <w:r>
        <w:rPr>
          <w:rFonts w:hint="eastAsia" w:ascii="仿宋_GB2312" w:hAnsi="宋体" w:eastAsia="仿宋_GB2312"/>
          <w:spacing w:val="10"/>
          <w:kern w:val="0"/>
          <w:sz w:val="32"/>
          <w:szCs w:val="32"/>
        </w:rPr>
        <w:t>受托管理的中央服务业专项引导资金7000万元进行妥善处置</w:t>
      </w:r>
      <w:r>
        <w:rPr>
          <w:rFonts w:hint="eastAsia" w:ascii="仿宋_GB2312" w:hAnsi="仿宋" w:eastAsia="仿宋_GB2312"/>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四、起草过程</w:t>
      </w:r>
    </w:p>
    <w:p>
      <w:pPr>
        <w:spacing w:line="560" w:lineRule="exact"/>
        <w:ind w:firstLine="640"/>
        <w:jc w:val="left"/>
        <w:rPr>
          <w:rFonts w:ascii="仿宋_GB2312" w:hAnsi="仿宋" w:eastAsia="仿宋_GB2312"/>
          <w:sz w:val="32"/>
          <w:szCs w:val="32"/>
        </w:rPr>
      </w:pPr>
      <w:r>
        <w:rPr>
          <w:rFonts w:hint="eastAsia" w:ascii="仿宋_GB2312" w:hAnsi="仿宋" w:eastAsia="仿宋_GB2312"/>
          <w:sz w:val="32"/>
          <w:szCs w:val="32"/>
        </w:rPr>
        <w:t>2019年7月-8月，市市场监管局在充分调研、研究的基础上，参照北京、杭州知识产权运营基金方案，结合深圳实际以及深圳产业发展、知识产权金融工作的需要，制定了《深圳市知识产权运营基金管理办法（试行）（征求意见稿）》。</w:t>
      </w:r>
    </w:p>
    <w:p>
      <w:pPr>
        <w:spacing w:line="560" w:lineRule="exact"/>
        <w:ind w:firstLine="640"/>
        <w:jc w:val="left"/>
        <w:rPr>
          <w:rFonts w:hint="eastAsia" w:ascii="仿宋_GB2312" w:hAnsi="仿宋" w:eastAsia="仿宋_GB2312"/>
          <w:sz w:val="32"/>
          <w:szCs w:val="32"/>
          <w:lang w:val="en-US" w:eastAsia="zh-CN"/>
        </w:rPr>
      </w:pPr>
      <w:r>
        <w:rPr>
          <w:rFonts w:hint="eastAsia" w:ascii="仿宋_GB2312" w:hAnsi="仿宋" w:eastAsia="仿宋_GB2312"/>
          <w:sz w:val="32"/>
          <w:szCs w:val="32"/>
        </w:rPr>
        <w:t>2019年8月19日，市市场监管局将《深圳市知识产权运营基金管理办法（试行）（征求意见稿）》向市财政局、市司法局、市地方金融监管局以及局内有关单位征求意见。截至2019年9月5日，共收到市财政局意见四条，全部采纳，市司法局意见8条，全部采纳，市地方金融监管局意见1条，采纳，局内意见10条，</w:t>
      </w:r>
      <w:r>
        <w:rPr>
          <w:rFonts w:hint="eastAsia" w:ascii="仿宋_GB2312" w:hAnsi="仿宋" w:eastAsia="仿宋_GB2312"/>
          <w:sz w:val="32"/>
          <w:szCs w:val="32"/>
          <w:lang w:val="en-US" w:eastAsia="zh-CN"/>
        </w:rPr>
        <w:t>9</w:t>
      </w:r>
      <w:r>
        <w:rPr>
          <w:rFonts w:hint="eastAsia" w:ascii="仿宋_GB2312" w:hAnsi="仿宋" w:eastAsia="仿宋_GB2312"/>
          <w:sz w:val="32"/>
          <w:szCs w:val="32"/>
        </w:rPr>
        <w:t>条采纳，1条部分采纳。市市场监管局对上述意见进行了汇总，形成了《深圳市知识产权运营基金管理办法（试行）（</w:t>
      </w:r>
      <w:r>
        <w:rPr>
          <w:rFonts w:hint="eastAsia" w:ascii="仿宋_GB2312" w:hAnsi="仿宋" w:eastAsia="仿宋_GB2312"/>
          <w:sz w:val="32"/>
          <w:szCs w:val="32"/>
          <w:lang w:eastAsia="zh-CN"/>
        </w:rPr>
        <w:t>征求意见</w:t>
      </w:r>
      <w:r>
        <w:rPr>
          <w:rFonts w:hint="eastAsia" w:ascii="仿宋_GB2312" w:hAnsi="仿宋" w:eastAsia="仿宋_GB2312"/>
          <w:sz w:val="32"/>
          <w:szCs w:val="32"/>
        </w:rPr>
        <w:t>稿）》</w:t>
      </w:r>
      <w:r>
        <w:rPr>
          <w:rFonts w:hint="eastAsia" w:ascii="仿宋_GB2312" w:hAnsi="仿宋" w:eastAsia="仿宋_GB2312"/>
          <w:sz w:val="32"/>
          <w:szCs w:val="32"/>
          <w:lang w:eastAsia="zh-CN"/>
        </w:rPr>
        <w:t>。</w:t>
      </w:r>
      <w:bookmarkStart w:id="1" w:name="_GoBack"/>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F11"/>
    <w:rsid w:val="00547DEC"/>
    <w:rsid w:val="0063400B"/>
    <w:rsid w:val="00D84F11"/>
    <w:rsid w:val="05226BF9"/>
    <w:rsid w:val="0B196EDE"/>
    <w:rsid w:val="0BAB0D91"/>
    <w:rsid w:val="0F27603A"/>
    <w:rsid w:val="108D2E3B"/>
    <w:rsid w:val="122F774D"/>
    <w:rsid w:val="14842272"/>
    <w:rsid w:val="180B1F23"/>
    <w:rsid w:val="19C06B82"/>
    <w:rsid w:val="19E70764"/>
    <w:rsid w:val="1E231C7F"/>
    <w:rsid w:val="1FC96EBA"/>
    <w:rsid w:val="26460399"/>
    <w:rsid w:val="2BD7402C"/>
    <w:rsid w:val="34DD0B2E"/>
    <w:rsid w:val="3A20477B"/>
    <w:rsid w:val="3CD6394F"/>
    <w:rsid w:val="40E36E39"/>
    <w:rsid w:val="41244F4F"/>
    <w:rsid w:val="41624571"/>
    <w:rsid w:val="416E72F8"/>
    <w:rsid w:val="489B46FD"/>
    <w:rsid w:val="49A43A5C"/>
    <w:rsid w:val="49C63538"/>
    <w:rsid w:val="4D3147F6"/>
    <w:rsid w:val="4D7C2D9A"/>
    <w:rsid w:val="51496770"/>
    <w:rsid w:val="523853E6"/>
    <w:rsid w:val="57B62E0B"/>
    <w:rsid w:val="57E65F2E"/>
    <w:rsid w:val="5A037CBA"/>
    <w:rsid w:val="601E7559"/>
    <w:rsid w:val="60A46FD7"/>
    <w:rsid w:val="637D56A9"/>
    <w:rsid w:val="66C47A24"/>
    <w:rsid w:val="66C614A0"/>
    <w:rsid w:val="69066657"/>
    <w:rsid w:val="6A533215"/>
    <w:rsid w:val="6E757C7D"/>
    <w:rsid w:val="702D64FA"/>
    <w:rsid w:val="70486310"/>
    <w:rsid w:val="7068522D"/>
    <w:rsid w:val="75E16EFD"/>
    <w:rsid w:val="7A2D258E"/>
    <w:rsid w:val="7B471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709</Words>
  <Characters>4046</Characters>
  <Lines>33</Lines>
  <Paragraphs>9</Paragraphs>
  <TotalTime>2</TotalTime>
  <ScaleCrop>false</ScaleCrop>
  <LinksUpToDate>false</LinksUpToDate>
  <CharactersWithSpaces>4746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zhaojian</dc:creator>
  <cp:lastModifiedBy>龙鸣</cp:lastModifiedBy>
  <dcterms:modified xsi:type="dcterms:W3CDTF">2019-09-29T03:43:05Z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