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BF" w:rsidRDefault="00826847">
      <w:pPr>
        <w:widowControl/>
        <w:spacing w:line="600" w:lineRule="exact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附件</w:t>
      </w:r>
      <w:r>
        <w:rPr>
          <w:rFonts w:ascii="黑体" w:eastAsia="黑体" w:hAnsi="黑体" w:cs="Arial" w:hint="eastAsia"/>
          <w:kern w:val="0"/>
          <w:sz w:val="32"/>
          <w:szCs w:val="32"/>
        </w:rPr>
        <w:t>3</w:t>
      </w:r>
    </w:p>
    <w:p w:rsidR="00C852BF" w:rsidRDefault="00826847">
      <w:pPr>
        <w:spacing w:line="56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eastAsia="方正小标宋简体" w:hint="eastAsia"/>
          <w:spacing w:val="-12"/>
          <w:sz w:val="44"/>
          <w:szCs w:val="44"/>
        </w:rPr>
        <w:t>部分不合格项目小知识</w:t>
      </w:r>
    </w:p>
    <w:p w:rsidR="00C852BF" w:rsidRDefault="00C852BF">
      <w:pPr>
        <w:spacing w:line="56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C852BF" w:rsidRDefault="00826847">
      <w:pPr>
        <w:spacing w:line="560" w:lineRule="exact"/>
        <w:ind w:firstLineChars="200" w:firstLine="643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一、不合格项目小知识</w:t>
      </w:r>
    </w:p>
    <w:p w:rsidR="00C852BF" w:rsidRDefault="00826847">
      <w:pPr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sz w:val="32"/>
          <w:szCs w:val="32"/>
        </w:rPr>
        <w:t xml:space="preserve">    </w:t>
      </w:r>
      <w:r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防腐剂混合使用时各自用量占其最大使用量的比例之</w:t>
      </w:r>
      <w:proofErr w:type="gramStart"/>
      <w:r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和</w:t>
      </w:r>
      <w:proofErr w:type="gramEnd"/>
    </w:p>
    <w:p w:rsidR="00C852BF" w:rsidRDefault="0082684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防腐剂是</w:t>
      </w:r>
      <w:r>
        <w:rPr>
          <w:rFonts w:ascii="仿宋" w:eastAsia="仿宋" w:hAnsi="仿宋" w:cs="宋体" w:hint="eastAsia"/>
          <w:sz w:val="32"/>
          <w:szCs w:val="32"/>
        </w:rPr>
        <w:t>指天然或合成的化学成分，用于加入食品中以延迟微生物生长或化学变化引起的腐败。</w:t>
      </w:r>
      <w:r>
        <w:rPr>
          <w:rFonts w:ascii="仿宋" w:eastAsia="仿宋" w:hAnsi="仿宋" w:cs="宋体"/>
          <w:sz w:val="32"/>
          <w:szCs w:val="32"/>
        </w:rPr>
        <w:t>GB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>2760-2014</w:t>
      </w:r>
      <w:r>
        <w:rPr>
          <w:rFonts w:ascii="仿宋" w:eastAsia="仿宋" w:hAnsi="仿宋" w:cs="宋体" w:hint="eastAsia"/>
          <w:sz w:val="32"/>
          <w:szCs w:val="32"/>
        </w:rPr>
        <w:t>《食品安全国家标准</w:t>
      </w:r>
      <w:r>
        <w:rPr>
          <w:rFonts w:ascii="仿宋" w:eastAsia="仿宋" w:hAnsi="仿宋" w:cs="宋体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食品添加剂使用标准》除了对食品中各种防腐剂的最大限量做了规定，同时为防止各单一防腐剂加成后含量过大，规定其在混合使用时各自用量占其最大使用量的比例之和不应超过</w:t>
      </w:r>
      <w:r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。以本次检出防腐剂比例之和不合格的糕点（咸蛋黄酥）为例，</w:t>
      </w:r>
      <w:r w:rsidRPr="005B494D">
        <w:rPr>
          <w:rFonts w:ascii="仿宋" w:eastAsia="仿宋" w:hAnsi="仿宋" w:cs="宋体" w:hint="eastAsia"/>
          <w:sz w:val="32"/>
          <w:szCs w:val="32"/>
        </w:rPr>
        <w:t>样品同时使用防腐剂</w:t>
      </w:r>
      <w:r w:rsidRPr="005B494D">
        <w:rPr>
          <w:rFonts w:ascii="仿宋" w:eastAsia="仿宋" w:hAnsi="仿宋" w:cs="宋体" w:hint="eastAsia"/>
          <w:sz w:val="32"/>
          <w:szCs w:val="32"/>
        </w:rPr>
        <w:t>丙</w:t>
      </w:r>
      <w:proofErr w:type="gramStart"/>
      <w:r w:rsidRPr="005B494D">
        <w:rPr>
          <w:rFonts w:ascii="仿宋" w:eastAsia="仿宋" w:hAnsi="仿宋" w:cs="宋体" w:hint="eastAsia"/>
          <w:sz w:val="32"/>
          <w:szCs w:val="32"/>
        </w:rPr>
        <w:t>酸及其</w:t>
      </w:r>
      <w:proofErr w:type="gramEnd"/>
      <w:r w:rsidRPr="005B494D">
        <w:rPr>
          <w:rFonts w:ascii="仿宋" w:eastAsia="仿宋" w:hAnsi="仿宋" w:cs="宋体" w:hint="eastAsia"/>
          <w:sz w:val="32"/>
          <w:szCs w:val="32"/>
        </w:rPr>
        <w:t>钠盐</w:t>
      </w:r>
      <w:r w:rsidRPr="005B494D">
        <w:rPr>
          <w:rFonts w:ascii="仿宋" w:eastAsia="仿宋" w:hAnsi="仿宋" w:cs="宋体" w:hint="eastAsia"/>
          <w:sz w:val="32"/>
          <w:szCs w:val="32"/>
        </w:rPr>
        <w:t>/</w:t>
      </w:r>
      <w:r w:rsidRPr="005B494D">
        <w:rPr>
          <w:rFonts w:ascii="仿宋" w:eastAsia="仿宋" w:hAnsi="仿宋" w:cs="宋体" w:hint="eastAsia"/>
          <w:sz w:val="32"/>
          <w:szCs w:val="32"/>
        </w:rPr>
        <w:t>钙盐、山梨</w:t>
      </w:r>
      <w:proofErr w:type="gramStart"/>
      <w:r w:rsidRPr="005B494D">
        <w:rPr>
          <w:rFonts w:ascii="仿宋" w:eastAsia="仿宋" w:hAnsi="仿宋" w:cs="宋体" w:hint="eastAsia"/>
          <w:sz w:val="32"/>
          <w:szCs w:val="32"/>
        </w:rPr>
        <w:t>酸及其</w:t>
      </w:r>
      <w:proofErr w:type="gramEnd"/>
      <w:r w:rsidRPr="005B494D">
        <w:rPr>
          <w:rFonts w:ascii="仿宋" w:eastAsia="仿宋" w:hAnsi="仿宋" w:cs="宋体" w:hint="eastAsia"/>
          <w:sz w:val="32"/>
          <w:szCs w:val="32"/>
        </w:rPr>
        <w:t>钾盐</w:t>
      </w:r>
      <w:r w:rsidRPr="005B494D">
        <w:rPr>
          <w:rFonts w:ascii="仿宋" w:eastAsia="仿宋" w:hAnsi="仿宋" w:cs="宋体" w:hint="eastAsia"/>
          <w:sz w:val="32"/>
          <w:szCs w:val="32"/>
        </w:rPr>
        <w:t>、</w:t>
      </w:r>
      <w:r w:rsidRPr="005B494D">
        <w:rPr>
          <w:rFonts w:ascii="仿宋" w:eastAsia="仿宋" w:hAnsi="仿宋" w:cs="宋体" w:hint="eastAsia"/>
          <w:sz w:val="32"/>
          <w:szCs w:val="32"/>
        </w:rPr>
        <w:t>脱氢乙酸及其钠盐</w:t>
      </w:r>
      <w:r w:rsidRPr="005B494D">
        <w:rPr>
          <w:rFonts w:ascii="仿宋" w:eastAsia="仿宋" w:hAnsi="仿宋" w:cs="宋体" w:hint="eastAsia"/>
          <w:sz w:val="32"/>
          <w:szCs w:val="32"/>
        </w:rPr>
        <w:t>，按照单一限量规定三者都合格，但是三者的防腐剂比例之和</w:t>
      </w:r>
      <w:r>
        <w:rPr>
          <w:rFonts w:ascii="仿宋" w:eastAsia="仿宋" w:hAnsi="仿宋" w:cs="宋体" w:hint="eastAsia"/>
          <w:sz w:val="32"/>
          <w:szCs w:val="32"/>
        </w:rPr>
        <w:t>为</w:t>
      </w:r>
      <w:r>
        <w:rPr>
          <w:rFonts w:ascii="仿宋" w:eastAsia="仿宋" w:hAnsi="仿宋" w:cs="宋体"/>
          <w:sz w:val="32"/>
          <w:szCs w:val="32"/>
        </w:rPr>
        <w:t>1.</w:t>
      </w:r>
      <w:r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，超过了规定值</w:t>
      </w:r>
      <w:r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C852BF" w:rsidRDefault="00826847">
      <w:pPr>
        <w:ind w:firstLineChars="200" w:firstLine="640"/>
        <w:rPr>
          <w:rFonts w:ascii="宋体"/>
          <w:sz w:val="28"/>
          <w:szCs w:val="28"/>
        </w:rPr>
      </w:pPr>
      <w:r>
        <w:rPr>
          <w:rFonts w:ascii="仿宋" w:eastAsia="仿宋" w:hAnsi="仿宋" w:cs="宋体" w:hint="eastAsia"/>
          <w:sz w:val="32"/>
          <w:szCs w:val="32"/>
        </w:rPr>
        <w:t>防腐剂比例之和是指防腐剂混合使用时</w:t>
      </w:r>
      <w:r>
        <w:rPr>
          <w:rFonts w:ascii="仿宋" w:eastAsia="仿宋" w:hAnsi="仿宋" w:cs="宋体"/>
          <w:sz w:val="32"/>
          <w:szCs w:val="32"/>
        </w:rPr>
        <w:t>,</w:t>
      </w:r>
      <w:r>
        <w:rPr>
          <w:rFonts w:ascii="仿宋" w:eastAsia="仿宋" w:hAnsi="仿宋" w:cs="宋体" w:hint="eastAsia"/>
          <w:sz w:val="32"/>
          <w:szCs w:val="32"/>
        </w:rPr>
        <w:t>各自用量占其最大使用量的比例之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和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。大部分防腐剂在体内可参与代谢，不会残留在体内，但如果长期食用防腐剂含量超标严重的食品，则可能破坏人体肠道正常菌群的平衡，严重时危害人体的肝脏和肾脏，导致人体肠胃功能、</w:t>
      </w:r>
      <w:hyperlink r:id="rId8" w:history="1">
        <w:r>
          <w:rPr>
            <w:rFonts w:ascii="仿宋" w:eastAsia="仿宋" w:hAnsi="仿宋" w:cs="宋体" w:hint="eastAsia"/>
            <w:sz w:val="32"/>
            <w:szCs w:val="32"/>
          </w:rPr>
          <w:t>血液</w:t>
        </w:r>
      </w:hyperlink>
      <w:r>
        <w:rPr>
          <w:rFonts w:ascii="仿宋" w:eastAsia="仿宋" w:hAnsi="仿宋" w:cs="宋体" w:hint="eastAsia"/>
          <w:sz w:val="32"/>
          <w:szCs w:val="32"/>
        </w:rPr>
        <w:t>酸碱度失调。</w:t>
      </w:r>
    </w:p>
    <w:p w:rsidR="00C852BF" w:rsidRDefault="0082684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二、建议</w:t>
      </w:r>
    </w:p>
    <w:p w:rsidR="00C852BF" w:rsidRDefault="00826847">
      <w:pPr>
        <w:pStyle w:val="a6"/>
        <w:shd w:val="clear" w:color="auto" w:fill="FFFFFF"/>
        <w:spacing w:before="0" w:beforeAutospacing="0" w:after="0" w:afterAutospacing="0" w:line="560" w:lineRule="exact"/>
        <w:ind w:firstLineChars="150" w:firstLine="482"/>
        <w:jc w:val="both"/>
        <w:rPr>
          <w:rStyle w:val="a7"/>
          <w:rFonts w:ascii="楷体" w:eastAsia="楷体" w:hAnsi="楷体"/>
          <w:color w:val="2B2B2B"/>
          <w:sz w:val="32"/>
          <w:szCs w:val="32"/>
        </w:rPr>
      </w:pPr>
      <w:r>
        <w:rPr>
          <w:rStyle w:val="a7"/>
          <w:rFonts w:ascii="楷体" w:eastAsia="楷体" w:hAnsi="楷体" w:hint="eastAsia"/>
          <w:color w:val="2B2B2B"/>
          <w:sz w:val="32"/>
          <w:szCs w:val="32"/>
        </w:rPr>
        <w:lastRenderedPageBreak/>
        <w:t>（一）严格把关食品</w:t>
      </w:r>
      <w:r>
        <w:rPr>
          <w:rStyle w:val="a7"/>
          <w:rFonts w:ascii="楷体" w:eastAsia="楷体" w:hAnsi="楷体" w:hint="eastAsia"/>
          <w:color w:val="2B2B2B"/>
          <w:sz w:val="32"/>
          <w:szCs w:val="32"/>
        </w:rPr>
        <w:t>质量</w:t>
      </w:r>
    </w:p>
    <w:p w:rsidR="00C852BF" w:rsidRDefault="0082684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食品经营者应当建立食品进货查验记录和索证索票制度，如实记录食品的生产批号、保质期、供货者名称及联系方式、进货日期等内容，并查验供货者的许可证和包含必要检测项目的食品合格证明文件，确保销售的食品</w:t>
      </w:r>
      <w:r>
        <w:rPr>
          <w:rFonts w:ascii="仿宋" w:eastAsia="仿宋" w:hAnsi="仿宋" w:hint="eastAsia"/>
          <w:color w:val="2B2B2B"/>
          <w:sz w:val="32"/>
          <w:szCs w:val="32"/>
        </w:rPr>
        <w:t>符合标准的有关规定和要求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852BF" w:rsidRDefault="0082684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Style w:val="a7"/>
          <w:rFonts w:ascii="楷体" w:eastAsia="楷体" w:hAnsi="楷体"/>
          <w:color w:val="2B2B2B"/>
          <w:sz w:val="32"/>
          <w:szCs w:val="32"/>
        </w:rPr>
      </w:pPr>
      <w:r>
        <w:rPr>
          <w:rStyle w:val="a7"/>
          <w:rFonts w:ascii="楷体" w:eastAsia="楷体" w:hAnsi="楷体" w:hint="eastAsia"/>
          <w:color w:val="2B2B2B"/>
          <w:sz w:val="32"/>
          <w:szCs w:val="32"/>
        </w:rPr>
        <w:t>（二）保证食品运输、贮存环境</w:t>
      </w:r>
    </w:p>
    <w:p w:rsidR="00C852BF" w:rsidRDefault="0082684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食品经营者应保证运输和装卸食品的容器、工具和设备清洁、无害，保证食品的经营环境和储存环境等符合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食</w:t>
      </w:r>
      <w:r>
        <w:rPr>
          <w:rFonts w:ascii="仿宋" w:eastAsia="仿宋" w:hAnsi="仿宋" w:hint="eastAsia"/>
          <w:sz w:val="32"/>
          <w:szCs w:val="32"/>
        </w:rPr>
        <w:t>品所需的环境，并及时清理变质、超过保质期及其他不符合标准要求的食品；针对特殊贮存要求的食品，食品经营者在运输、贮藏时应当符合食品安全所需要的温度、空间隔离等特殊要求，防止交叉污染。</w:t>
      </w:r>
    </w:p>
    <w:p w:rsidR="00C852BF" w:rsidRDefault="00826847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Style w:val="a7"/>
          <w:rFonts w:ascii="楷体" w:eastAsia="楷体" w:hAnsi="楷体"/>
          <w:color w:val="2B2B2B"/>
          <w:sz w:val="32"/>
          <w:szCs w:val="32"/>
        </w:rPr>
      </w:pPr>
      <w:r>
        <w:rPr>
          <w:rStyle w:val="a7"/>
          <w:rFonts w:ascii="楷体" w:eastAsia="楷体" w:hAnsi="楷体" w:hint="eastAsia"/>
          <w:color w:val="2B2B2B"/>
          <w:sz w:val="32"/>
          <w:szCs w:val="32"/>
        </w:rPr>
        <w:t>（三）加强食品从业人员培训</w:t>
      </w:r>
    </w:p>
    <w:p w:rsidR="005B494D" w:rsidRPr="005B494D" w:rsidRDefault="005B494D" w:rsidP="005B494D">
      <w:pPr>
        <w:pStyle w:val="a6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color w:val="FF0000"/>
          <w:sz w:val="32"/>
          <w:szCs w:val="32"/>
        </w:rPr>
        <w:t xml:space="preserve">    </w:t>
      </w:r>
      <w:r w:rsidRPr="005B494D">
        <w:rPr>
          <w:rFonts w:ascii="仿宋" w:eastAsia="仿宋" w:hAnsi="仿宋" w:hint="eastAsia"/>
          <w:sz w:val="32"/>
          <w:szCs w:val="32"/>
        </w:rPr>
        <w:t>食品经营者</w:t>
      </w:r>
      <w:r w:rsidRPr="005B494D">
        <w:rPr>
          <w:rFonts w:ascii="仿宋" w:eastAsia="仿宋" w:hAnsi="仿宋"/>
          <w:sz w:val="32"/>
          <w:szCs w:val="32"/>
        </w:rPr>
        <w:t>应建立食品相关岗位的培训制度，</w:t>
      </w:r>
      <w:r w:rsidRPr="005B494D">
        <w:rPr>
          <w:rFonts w:ascii="仿宋" w:eastAsia="仿宋" w:hAnsi="仿宋" w:hint="eastAsia"/>
          <w:sz w:val="32"/>
          <w:szCs w:val="32"/>
        </w:rPr>
        <w:t>加强日常监管及培训，</w:t>
      </w:r>
      <w:r w:rsidRPr="005B494D">
        <w:rPr>
          <w:rFonts w:ascii="仿宋" w:eastAsia="仿宋" w:hAnsi="仿宋"/>
          <w:sz w:val="32"/>
          <w:szCs w:val="32"/>
        </w:rPr>
        <w:t>对食品</w:t>
      </w:r>
      <w:r w:rsidRPr="005B494D">
        <w:rPr>
          <w:rFonts w:ascii="仿宋" w:eastAsia="仿宋" w:hAnsi="仿宋" w:hint="eastAsia"/>
          <w:sz w:val="32"/>
          <w:szCs w:val="32"/>
        </w:rPr>
        <w:t>销售</w:t>
      </w:r>
      <w:r w:rsidRPr="005B494D">
        <w:rPr>
          <w:rFonts w:ascii="仿宋" w:eastAsia="仿宋" w:hAnsi="仿宋"/>
          <w:sz w:val="32"/>
          <w:szCs w:val="32"/>
        </w:rPr>
        <w:t>人员以及相关岗位的从业人员进行相应的食品安全知识培训</w:t>
      </w:r>
      <w:r w:rsidRPr="005B494D">
        <w:rPr>
          <w:rFonts w:ascii="仿宋" w:eastAsia="仿宋" w:hAnsi="仿宋" w:cs="仿宋" w:hint="eastAsia"/>
          <w:sz w:val="32"/>
          <w:szCs w:val="32"/>
        </w:rPr>
        <w:t>，</w:t>
      </w:r>
      <w:r w:rsidRPr="005B494D">
        <w:rPr>
          <w:rFonts w:ascii="仿宋" w:eastAsia="仿宋" w:hAnsi="仿宋" w:cs="仿宋" w:hint="eastAsia"/>
          <w:snapToGrid w:val="0"/>
          <w:sz w:val="32"/>
        </w:rPr>
        <w:t>提高从业人员的食品安全意识和维护食品安全能力</w:t>
      </w:r>
      <w:r w:rsidRPr="005B494D">
        <w:rPr>
          <w:rFonts w:ascii="仿宋" w:eastAsia="仿宋" w:hAnsi="仿宋"/>
          <w:sz w:val="32"/>
          <w:szCs w:val="32"/>
        </w:rPr>
        <w:t>。</w:t>
      </w:r>
    </w:p>
    <w:bookmarkEnd w:id="0"/>
    <w:p w:rsidR="00C852BF" w:rsidRDefault="00C852BF">
      <w:pPr>
        <w:pStyle w:val="a6"/>
        <w:shd w:val="clear" w:color="auto" w:fill="FFFFFF"/>
        <w:spacing w:before="0" w:beforeAutospacing="0" w:after="0" w:afterAutospacing="0" w:line="560" w:lineRule="exact"/>
        <w:ind w:left="708"/>
        <w:rPr>
          <w:rFonts w:ascii="黑体" w:eastAsia="黑体" w:hAnsi="黑体"/>
          <w:sz w:val="32"/>
          <w:szCs w:val="32"/>
        </w:rPr>
      </w:pPr>
    </w:p>
    <w:sectPr w:rsidR="00C852BF" w:rsidSect="00C85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847" w:rsidRDefault="00826847" w:rsidP="005B494D">
      <w:r>
        <w:separator/>
      </w:r>
    </w:p>
  </w:endnote>
  <w:endnote w:type="continuationSeparator" w:id="0">
    <w:p w:rsidR="00826847" w:rsidRDefault="00826847" w:rsidP="005B4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847" w:rsidRDefault="00826847" w:rsidP="005B494D">
      <w:r>
        <w:separator/>
      </w:r>
    </w:p>
  </w:footnote>
  <w:footnote w:type="continuationSeparator" w:id="0">
    <w:p w:rsidR="00826847" w:rsidRDefault="00826847" w:rsidP="005B4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37C"/>
    <w:rsid w:val="00173E26"/>
    <w:rsid w:val="00267ADA"/>
    <w:rsid w:val="00460EBF"/>
    <w:rsid w:val="005326D3"/>
    <w:rsid w:val="00592E8D"/>
    <w:rsid w:val="005B494D"/>
    <w:rsid w:val="005F21C2"/>
    <w:rsid w:val="00655E9A"/>
    <w:rsid w:val="00826847"/>
    <w:rsid w:val="00A46E48"/>
    <w:rsid w:val="00C77B6D"/>
    <w:rsid w:val="00C83185"/>
    <w:rsid w:val="00C852BF"/>
    <w:rsid w:val="00C95E2B"/>
    <w:rsid w:val="00CB488A"/>
    <w:rsid w:val="00D164C9"/>
    <w:rsid w:val="00DF037C"/>
    <w:rsid w:val="00E636C0"/>
    <w:rsid w:val="00EB156C"/>
    <w:rsid w:val="00F13C44"/>
    <w:rsid w:val="00FD7C55"/>
    <w:rsid w:val="148C1FF8"/>
    <w:rsid w:val="49EC652B"/>
    <w:rsid w:val="75CB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B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852BF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C85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85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852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852BF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C852BF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852BF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C852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china.alibaba.com/offer/&#232;&#161;&#128;&#230;&#182;&#178;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B270F7-92A8-4262-90F6-739898DB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liqx</dc:creator>
  <cp:lastModifiedBy>liqx</cp:lastModifiedBy>
  <cp:revision>6</cp:revision>
  <dcterms:created xsi:type="dcterms:W3CDTF">2020-03-16T01:53:00Z</dcterms:created>
  <dcterms:modified xsi:type="dcterms:W3CDTF">2020-03-26T03:12:00Z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