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创业中的知识产权新思维及保护培训方案</w:t>
      </w:r>
    </w:p>
    <w:p>
      <w:pPr>
        <w:pStyle w:val="7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pStyle w:val="7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了增强中小企业知识产权意识，加强自主创新能力，营造良好的知识产权保护氛围，同时为知识产权管理人员提供一个交流和学习的机会。我局在4.26知识产权日期间将举办多场知识产权系列培训活动，本次举办培训活动主题为“创业中的知识产权新思维及保护”，现安排如下：</w:t>
      </w:r>
    </w:p>
    <w:p>
      <w:pPr>
        <w:pStyle w:val="7"/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培训主题</w:t>
      </w:r>
    </w:p>
    <w:p>
      <w:pPr>
        <w:pStyle w:val="7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创业中的知识产权新思维及保护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活动方式及时间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活动方式：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线上直播</w:t>
      </w:r>
    </w:p>
    <w:p>
      <w:pPr>
        <w:pStyle w:val="7"/>
        <w:spacing w:line="360" w:lineRule="auto"/>
        <w:ind w:firstLine="640" w:firstLineChars="200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4月26日 15:00-16:00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、主办和承办单位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主办单位：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深圳市市场监督管理局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承办单位：深圳中一联合知识产权代理有限公司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企业如何处理自己的商标，专利，著作权被侵犯的情况，在实践中如何完善和加强企业知识产权保护，介绍深圳法院知识产权管辖、审判的有关情况。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本次培训主要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针对企业知识产权工作人员、研发人员、企业政府项目相关负责人和工作人员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日（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周二</w:t>
      </w:r>
      <w:r>
        <w:rPr>
          <w:rFonts w:hint="eastAsia" w:ascii="仿宋_GB2312" w:hAnsi="仿宋" w:eastAsia="仿宋_GB2312"/>
          <w:sz w:val="32"/>
          <w:szCs w:val="32"/>
        </w:rPr>
        <w:t>）上午12点前编辑短信“单位+职务+姓名+手机号”发送至手机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17727967231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邓</w:t>
      </w:r>
      <w:r>
        <w:rPr>
          <w:rFonts w:hint="eastAsia" w:ascii="仿宋_GB2312" w:hAnsi="仿宋" w:eastAsia="仿宋_GB2312"/>
          <w:sz w:val="32"/>
          <w:szCs w:val="32"/>
        </w:rPr>
        <w:t>小姐）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或发邮件至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denglei@zyip.com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napToGrid w:val="0"/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543A"/>
    <w:rsid w:val="0FCC0C24"/>
    <w:rsid w:val="11BD4470"/>
    <w:rsid w:val="18651E5F"/>
    <w:rsid w:val="1932167B"/>
    <w:rsid w:val="1AA1260F"/>
    <w:rsid w:val="2D9B12FF"/>
    <w:rsid w:val="3310690E"/>
    <w:rsid w:val="3A927A22"/>
    <w:rsid w:val="3DE543DD"/>
    <w:rsid w:val="3E264BBC"/>
    <w:rsid w:val="49DE3235"/>
    <w:rsid w:val="4A067450"/>
    <w:rsid w:val="58E9296A"/>
    <w:rsid w:val="5B722C03"/>
    <w:rsid w:val="5DD224F5"/>
    <w:rsid w:val="6C6A06B7"/>
    <w:rsid w:val="747A6237"/>
    <w:rsid w:val="76F63E9F"/>
    <w:rsid w:val="7CD173ED"/>
    <w:rsid w:val="7E2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2020-04-17T08:02:22Z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