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深圳标准先进性评价细则</w:t>
      </w:r>
    </w:p>
    <w:p>
      <w:pPr>
        <w:jc w:val="center"/>
        <w:rPr>
          <w:rFonts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计算机用液晶显示器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为对液晶显示器产品标准进行深圳标准先进性评价，特制定本细则。本细则所指的计算机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液晶显示器是指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用于电脑输入输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的平面超薄的显示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设备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具体如下：</w:t>
      </w:r>
    </w:p>
    <w:p>
      <w:pPr>
        <w:pStyle w:val="11"/>
        <w:numPr>
          <w:ilvl w:val="0"/>
          <w:numId w:val="2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主要技术指标确定程序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主要技术指标的确定程序包括：</w:t>
      </w:r>
    </w:p>
    <w:p>
      <w:pPr>
        <w:pStyle w:val="11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梳理国内外相关标准，形成相关的标准集合；</w:t>
      </w:r>
    </w:p>
    <w:p>
      <w:pPr>
        <w:pStyle w:val="11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收集产品相关的认证项目和检测要求；</w:t>
      </w:r>
    </w:p>
    <w:p>
      <w:pPr>
        <w:pStyle w:val="11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基于行业现状和市场需求，按照指标项的类型、层次、作用进行划分，形成指标池；</w:t>
      </w:r>
    </w:p>
    <w:p>
      <w:pPr>
        <w:pStyle w:val="11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征求行业协会、</w:t>
      </w:r>
      <w:r>
        <w:rPr>
          <w:rFonts w:hint="eastAsia" w:ascii="Times New Roman" w:hAnsi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专业技术机构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意见，召开专家评审会，在指标池中抽取核心指标，并确定核心指标基准线。</w:t>
      </w:r>
    </w:p>
    <w:p>
      <w:pPr>
        <w:pStyle w:val="11"/>
        <w:numPr>
          <w:ilvl w:val="0"/>
          <w:numId w:val="2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计算机用液晶显示器产品标准评价</w:t>
      </w:r>
    </w:p>
    <w:p>
      <w:pPr>
        <w:pStyle w:val="11"/>
        <w:numPr>
          <w:ilvl w:val="0"/>
          <w:numId w:val="4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主要技术指标</w:t>
      </w:r>
    </w:p>
    <w:p>
      <w:pPr>
        <w:pStyle w:val="11"/>
        <w:ind w:firstLine="60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梳理计算机用液晶显示器产品指标项，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在满足国家标准GB 4943.1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-2011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《信息技术设备  安全  第1部分：通用要求》、GB 8898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-2011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《音频、视频及类似电子设备 安全要求》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GB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/T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5296.2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-2008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《消费品使用说明  第2部分：家用和类似用途电器》、GB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/T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9254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-2008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《信息技术设备的无线电骚扰限值和测量方法》、GB/T 26572-2011《电子电气产品中限用物质的限量要求》以及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行业标准SJ/T 11292-2016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《计算机用液晶显示器通用规范》等的基础上，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对指标的国内外现状进行分析研究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，以国内领先、国际先进水平或者填补国内、国际空白为原则，从以下八类指标性质提出影响产品质量的主要技术指标：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产品创新，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能够进一步满足顾客需求，开辟新的市场；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符合产业政策引导方向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填补国内（国际）空白，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能够提升产品质量；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严于国家行业标准，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质量提升明显；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清洁生产，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材料选择、生产过程生态环保；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产品安全健康环保，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维护人体安全，有利身体健康，加强环境保护；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消费体验，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满足消费者实际需求，提升用户体验；</w:t>
      </w:r>
    </w:p>
    <w:p>
      <w:pPr>
        <w:pStyle w:val="11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行业特殊要求，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符合并高于产品所在行业的特殊要求，带动质量明显提升。</w:t>
      </w:r>
    </w:p>
    <w:p>
      <w:pPr>
        <w:pStyle w:val="11"/>
        <w:numPr>
          <w:ilvl w:val="0"/>
          <w:numId w:val="4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先进性判定标准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先进性判定标准见表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ind w:firstLine="480" w:firstLineChars="200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计算机用液晶显示器产品先进性判定标准</w:t>
      </w:r>
    </w:p>
    <w:tbl>
      <w:tblPr>
        <w:tblStyle w:val="6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8"/>
        <w:gridCol w:w="609"/>
        <w:gridCol w:w="788"/>
        <w:gridCol w:w="2175"/>
        <w:gridCol w:w="2904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427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8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指标性质</w:t>
            </w:r>
          </w:p>
        </w:tc>
        <w:tc>
          <w:tcPr>
            <w:tcW w:w="1397" w:type="dxa"/>
            <w:gridSpan w:val="2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关键指标项</w:t>
            </w:r>
          </w:p>
        </w:tc>
        <w:tc>
          <w:tcPr>
            <w:tcW w:w="2175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指标先进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2904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检测方法</w:t>
            </w:r>
          </w:p>
        </w:tc>
        <w:tc>
          <w:tcPr>
            <w:tcW w:w="903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restart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消费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体验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对比度C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≥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宋体" w:cs="宋体" w:hAnsi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800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SJ/T 11292-2016</w:t>
            </w:r>
          </w:p>
          <w:p>
            <w:pPr>
              <w:widowControl/>
              <w:rPr>
                <w:rFonts w:ascii="宋体" w:cs="宋体" w:hAnsiTheme="minorHAnsi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计算机用液晶显示器通用规范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亮度一致性L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%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SJ/T 11292-2016</w:t>
            </w:r>
          </w:p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计算机用液晶显示器通用规范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灰度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/（级） ＞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SJ/T 11292-2016</w:t>
            </w:r>
          </w:p>
          <w:p>
            <w:pPr>
              <w:widowControl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计算机用液晶显示器通用规范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色域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覆盖率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%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SJ/T 11292-2016</w:t>
            </w:r>
          </w:p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计算机用液晶显示器通用规范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Merge w:val="restart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色彩准确度/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788" w:type="dxa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w:br w:type="textWrapping"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</m:oMath>
            </m:oMathPara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widowControl/>
              <w:rPr>
                <w:szCs w:val="21"/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a）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对三基色显示器，分别显示100%全红场、100%全绿场、100%全蓝场，用色度计依次测量均匀性测试点位置图所规定的P</w:t>
            </w:r>
            <w:r>
              <w:rPr>
                <w:rFonts w:hint="eastAsia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点的色度坐标</w:t>
            </w:r>
            <w:r>
              <w:rPr>
                <w:szCs w:val="21"/>
              </w:rPr>
              <w:drawing>
                <wp:inline distT="0" distB="0" distL="0" distR="0">
                  <wp:extent cx="166370" cy="171450"/>
                  <wp:effectExtent l="0" t="0" r="508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5" cy="174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drawing>
                <wp:inline distT="0" distB="0" distL="0" distR="0">
                  <wp:extent cx="177800" cy="182880"/>
                  <wp:effectExtent l="0" t="0" r="0" b="762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82" cy="18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drawing>
                <wp:inline distT="0" distB="0" distL="0" distR="0">
                  <wp:extent cx="182880" cy="193040"/>
                  <wp:effectExtent l="0" t="0" r="762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9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drawing>
                <wp:inline distT="0" distB="0" distL="0" distR="0">
                  <wp:extent cx="166370" cy="166370"/>
                  <wp:effectExtent l="0" t="0" r="5080" b="508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01" cy="168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drawing>
                <wp:inline distT="0" distB="0" distL="0" distR="0">
                  <wp:extent cx="177800" cy="182880"/>
                  <wp:effectExtent l="0" t="0" r="0" b="762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drawing>
                <wp:inline distT="0" distB="0" distL="0" distR="0">
                  <wp:extent cx="182880" cy="182880"/>
                  <wp:effectExtent l="0" t="0" r="762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43" cy="185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b）用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以下公式分别计算与标称色度的误差：</w:t>
            </w:r>
          </w:p>
          <w:p>
            <w:pPr>
              <w:pStyle w:val="17"/>
              <w:numPr>
                <w:ilvl w:val="0"/>
                <w:numId w:val="0"/>
              </w:numPr>
              <w:snapToGrid w:val="0"/>
              <w:spacing w:line="276" w:lineRule="auto"/>
              <w:ind w:left="839"/>
              <w:rPr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R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Cs w:val="21"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rs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r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v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rs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v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r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</m:rad>
              </m:oMath>
            </m:oMathPara>
          </w:p>
          <w:p>
            <w:pPr>
              <w:pStyle w:val="17"/>
              <w:numPr>
                <w:ilvl w:val="0"/>
                <w:numId w:val="0"/>
              </w:numPr>
              <w:snapToGrid w:val="0"/>
              <w:spacing w:line="276" w:lineRule="auto"/>
              <w:ind w:left="839"/>
              <w:rPr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G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G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Cs w:val="21"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gs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g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v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gs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v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g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</m:rad>
              </m:oMath>
            </m:oMathPara>
          </w:p>
          <w:p>
            <w:pPr>
              <w:pStyle w:val="17"/>
              <w:numPr>
                <w:ilvl w:val="0"/>
                <w:numId w:val="0"/>
              </w:numPr>
              <w:snapToGrid w:val="0"/>
              <w:spacing w:line="276" w:lineRule="auto"/>
              <w:ind w:left="839"/>
              <w:rPr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Cs w:val="21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Cs w:val="21"/>
                      </w:rPr>
                    </m:ctrlPr>
                  </m:deg>
                  <m:e>
                    <m:sSup>
                      <m:sSup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bs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u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b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v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bs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1"/>
                              </w:rPr>
                              <m:t>-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Sub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v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b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Cs w:val="21"/>
                                  </w:rPr>
                                  <m:t>'</m:t>
                                </m:r>
                                <m:ctrlPr>
                                  <w:rPr>
                                    <w:rFonts w:ascii="Cambria Math" w:hAnsi="Cambria Math"/>
                                    <w:szCs w:val="21"/>
                                  </w:rPr>
                                </m:ctrlPr>
                              </m:sup>
                            </m:sSubSup>
                            <m:ctrlPr>
                              <w:rPr>
                                <w:rFonts w:ascii="Cambria Math" w:hAnsi="Cambria Math"/>
                                <w:szCs w:val="21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1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Cs w:val="21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</m:rad>
              </m:oMath>
            </m:oMathPara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式中：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u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rs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rs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红基色坐标标称值；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u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gs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gs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绿基色坐标标称值；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u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bs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bs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蓝基色坐标标称值；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u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r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r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红基色坐标测试值；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u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g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g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绿基色坐标测试值；</w:t>
            </w:r>
          </w:p>
          <w:p>
            <w:pPr>
              <w:widowControl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u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b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m:oMath>
              <m:sSubSup>
                <m:sSubSupP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v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b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m:t>'</m:t>
                  </m:r>
                  <m:ctrlPr>
                    <w:rPr>
                      <w:rFonts w:ascii="Cambria Math" w:hAnsi="Cambria Math"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</m:sSubSup>
            </m:oMath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蓝基色坐标测试值。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G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w:br w:type="textWrapping"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G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G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</m:oMath>
            </m:oMathPara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90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" w:type="dxa"/>
            <w:vAlign w:val="center"/>
          </w:tcPr>
          <w:p>
            <w:pPr>
              <w:pStyle w:val="2"/>
              <w:adjustRightInd w:val="0"/>
              <w:snapToGrid w:val="0"/>
              <w:spacing w:before="156" w:after="156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w:br w:type="textWrapping"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u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  <m:sSubSup>
                  <m:sSubSupPr>
                    <m:ctrlPr>
                      <w:rPr>
                        <w:rFonts w:ascii="Cambria Math" w:hAnsi="Cambria Math"/>
                        <w:szCs w:val="21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v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B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'</m:t>
                    </m:r>
                    <m:ctrlPr>
                      <w:rPr>
                        <w:rFonts w:ascii="Cambria Math" w:hAnsi="Cambria Math"/>
                        <w:szCs w:val="21"/>
                      </w:rPr>
                    </m:ctrlPr>
                  </m:sup>
                </m:sSubSup>
              </m:oMath>
            </m:oMathPara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1"/>
              </w:rPr>
              <w:t>0.04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2904" w:type="dxa"/>
            <w:vMerge w:val="continue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消费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体验</w:t>
            </w:r>
          </w:p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产品安全健康环保</w:t>
            </w:r>
          </w:p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填补国内空白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蓝光比率/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%  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蓝光（400～500 nm）含量应至少低于25%的可见光（300～700 nm）含量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在低蓝光模式下，参考IEC/EN 62471，测量全屏白光状态（R = G = B = 255）下屏幕中心点的蓝光辐照度（400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500 nm）与总辐照度（300</w:t>
            </w:r>
            <w:r>
              <w:rPr>
                <w:rFonts w:hint="eastAsia" w:ascii="宋体" w:hAnsi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700 nm）的比例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restart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产品安全健康环保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能效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（标准显示器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0cd/W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；高性能显示器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cd/W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 21520-2015 计算机显示器能效限定值及能效等级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427" w:type="dxa"/>
            <w:vAlign w:val="center"/>
          </w:tcPr>
          <w:p>
            <w:pPr>
              <w:pStyle w:val="13"/>
              <w:widowControl/>
              <w:numPr>
                <w:ilvl w:val="0"/>
                <w:numId w:val="6"/>
              </w:numPr>
              <w:ind w:firstLineChars="0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vMerge w:val="continue"/>
            <w:vAlign w:val="center"/>
          </w:tcPr>
          <w:p>
            <w:pPr>
              <w:pStyle w:val="13"/>
              <w:widowControl/>
              <w:numPr>
                <w:ilvl w:val="0"/>
                <w:numId w:val="7"/>
              </w:numPr>
              <w:ind w:firstLineChars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睡眠状态功率/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(W)</w:t>
            </w:r>
            <w:r>
              <w:rPr>
                <w:rFonts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≤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904" w:type="dxa"/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 21520-2015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计算机显示器能效限定值及能效等级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rPr>
          <w:rFonts w:ascii="Times New Roman" w:hAnsi="Times New Roman" w:eastAsia="黑体"/>
          <w:color w:val="000000" w:themeColor="text1"/>
          <w:szCs w:val="20"/>
          <w14:textFill>
            <w14:solidFill>
              <w14:schemeClr w14:val="tx1"/>
            </w14:solidFill>
          </w14:textFill>
        </w:rPr>
        <w:sectPr>
          <w:headerReference r:id="rId7" w:type="default"/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先进性评价程序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numPr>
          <w:ilvl w:val="0"/>
          <w:numId w:val="8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实施日期</w:t>
      </w:r>
    </w:p>
    <w:p>
      <w:pPr>
        <w:ind w:firstLine="450" w:firstLineChars="15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本细则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日起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实施。</w:t>
      </w:r>
    </w:p>
    <w:p>
      <w:pPr>
        <w:pStyle w:val="11"/>
        <w:numPr>
          <w:ilvl w:val="0"/>
          <w:numId w:val="8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发布机构 </w:t>
      </w:r>
    </w:p>
    <w:p>
      <w:pPr>
        <w:ind w:firstLine="450" w:firstLineChars="150"/>
        <w:rPr>
          <w:color w:val="000000" w:themeColor="text1"/>
          <w:sz w:val="30"/>
          <w:szCs w:val="30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深圳市标准技术研究院。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SSAE-A12-011:2020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SSAE-A12-011:2020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SSAE-A12-011:2020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4FF5029"/>
    <w:multiLevelType w:val="multilevel"/>
    <w:tmpl w:val="34FF5029"/>
    <w:lvl w:ilvl="0" w:tentative="0">
      <w:start w:val="1"/>
      <w:numFmt w:val="bullet"/>
      <w:lvlText w:val=""/>
      <w:lvlJc w:val="left"/>
      <w:pPr>
        <w:ind w:left="56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8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>
    <w:nsid w:val="5C0D3770"/>
    <w:multiLevelType w:val="multilevel"/>
    <w:tmpl w:val="5C0D3770"/>
    <w:lvl w:ilvl="0" w:tentative="0">
      <w:start w:val="1"/>
      <w:numFmt w:val="decimal"/>
      <w:lvlText w:val=" 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79"/>
    <w:rsid w:val="00006FC4"/>
    <w:rsid w:val="00007213"/>
    <w:rsid w:val="00015ABF"/>
    <w:rsid w:val="000408AB"/>
    <w:rsid w:val="00052926"/>
    <w:rsid w:val="000550B1"/>
    <w:rsid w:val="00060262"/>
    <w:rsid w:val="00076893"/>
    <w:rsid w:val="00080EBD"/>
    <w:rsid w:val="00094C60"/>
    <w:rsid w:val="00096CE0"/>
    <w:rsid w:val="00097663"/>
    <w:rsid w:val="000A4852"/>
    <w:rsid w:val="000A4E9A"/>
    <w:rsid w:val="000A5EF6"/>
    <w:rsid w:val="000A666F"/>
    <w:rsid w:val="000C054B"/>
    <w:rsid w:val="000C0BB2"/>
    <w:rsid w:val="000C0BEA"/>
    <w:rsid w:val="000E2BEA"/>
    <w:rsid w:val="000E7C6A"/>
    <w:rsid w:val="000F5ECD"/>
    <w:rsid w:val="001013A1"/>
    <w:rsid w:val="00112501"/>
    <w:rsid w:val="00113603"/>
    <w:rsid w:val="00116431"/>
    <w:rsid w:val="0012301B"/>
    <w:rsid w:val="00124792"/>
    <w:rsid w:val="00130C77"/>
    <w:rsid w:val="00134BDC"/>
    <w:rsid w:val="001443E7"/>
    <w:rsid w:val="0015060D"/>
    <w:rsid w:val="00152F5E"/>
    <w:rsid w:val="0015322F"/>
    <w:rsid w:val="001616CC"/>
    <w:rsid w:val="001624BA"/>
    <w:rsid w:val="001625C4"/>
    <w:rsid w:val="00162D9A"/>
    <w:rsid w:val="00166E6A"/>
    <w:rsid w:val="0017287D"/>
    <w:rsid w:val="001837D3"/>
    <w:rsid w:val="00186123"/>
    <w:rsid w:val="001874C8"/>
    <w:rsid w:val="00194187"/>
    <w:rsid w:val="001A2B3F"/>
    <w:rsid w:val="001A4E92"/>
    <w:rsid w:val="001B4423"/>
    <w:rsid w:val="001B45FF"/>
    <w:rsid w:val="001C1E7D"/>
    <w:rsid w:val="001C5BB8"/>
    <w:rsid w:val="001E1876"/>
    <w:rsid w:val="001F1EE6"/>
    <w:rsid w:val="00212D6F"/>
    <w:rsid w:val="002201E8"/>
    <w:rsid w:val="0022440C"/>
    <w:rsid w:val="00232103"/>
    <w:rsid w:val="002323D1"/>
    <w:rsid w:val="00232D0A"/>
    <w:rsid w:val="00246FDF"/>
    <w:rsid w:val="002477BD"/>
    <w:rsid w:val="0026004F"/>
    <w:rsid w:val="00263FA8"/>
    <w:rsid w:val="00265ABD"/>
    <w:rsid w:val="00270BD4"/>
    <w:rsid w:val="002767A1"/>
    <w:rsid w:val="00276E81"/>
    <w:rsid w:val="00283676"/>
    <w:rsid w:val="00283BBC"/>
    <w:rsid w:val="00292218"/>
    <w:rsid w:val="00292237"/>
    <w:rsid w:val="002A3891"/>
    <w:rsid w:val="002B10A1"/>
    <w:rsid w:val="002B1992"/>
    <w:rsid w:val="002B2106"/>
    <w:rsid w:val="002B2940"/>
    <w:rsid w:val="002C3C60"/>
    <w:rsid w:val="002C61C1"/>
    <w:rsid w:val="002D15FC"/>
    <w:rsid w:val="002E2D59"/>
    <w:rsid w:val="002E4FCE"/>
    <w:rsid w:val="002E640B"/>
    <w:rsid w:val="002F14CC"/>
    <w:rsid w:val="003022EE"/>
    <w:rsid w:val="00317AF3"/>
    <w:rsid w:val="00342DF2"/>
    <w:rsid w:val="00345008"/>
    <w:rsid w:val="00350AF6"/>
    <w:rsid w:val="003510E6"/>
    <w:rsid w:val="00354544"/>
    <w:rsid w:val="00354E8D"/>
    <w:rsid w:val="00365754"/>
    <w:rsid w:val="00381073"/>
    <w:rsid w:val="0039113E"/>
    <w:rsid w:val="003920F5"/>
    <w:rsid w:val="003929F8"/>
    <w:rsid w:val="003A27D2"/>
    <w:rsid w:val="003A3FE0"/>
    <w:rsid w:val="003A7D4B"/>
    <w:rsid w:val="003B60CE"/>
    <w:rsid w:val="003C2BF6"/>
    <w:rsid w:val="003C3516"/>
    <w:rsid w:val="003C5E6D"/>
    <w:rsid w:val="003F2C2D"/>
    <w:rsid w:val="003F3C16"/>
    <w:rsid w:val="0040676A"/>
    <w:rsid w:val="00413578"/>
    <w:rsid w:val="00416F2F"/>
    <w:rsid w:val="00426B9A"/>
    <w:rsid w:val="004306E3"/>
    <w:rsid w:val="004354A2"/>
    <w:rsid w:val="00440822"/>
    <w:rsid w:val="004457F9"/>
    <w:rsid w:val="004474A3"/>
    <w:rsid w:val="00450351"/>
    <w:rsid w:val="00454AE4"/>
    <w:rsid w:val="00454B59"/>
    <w:rsid w:val="004550A0"/>
    <w:rsid w:val="00457546"/>
    <w:rsid w:val="0046457F"/>
    <w:rsid w:val="00471A1C"/>
    <w:rsid w:val="0047462C"/>
    <w:rsid w:val="0048163A"/>
    <w:rsid w:val="0048506B"/>
    <w:rsid w:val="00492692"/>
    <w:rsid w:val="00492DF5"/>
    <w:rsid w:val="004B2F8B"/>
    <w:rsid w:val="004B3725"/>
    <w:rsid w:val="004C6060"/>
    <w:rsid w:val="004D3A2A"/>
    <w:rsid w:val="004D5F12"/>
    <w:rsid w:val="004E4F6D"/>
    <w:rsid w:val="004E51A4"/>
    <w:rsid w:val="004F0845"/>
    <w:rsid w:val="004F0D21"/>
    <w:rsid w:val="004F4235"/>
    <w:rsid w:val="0050347D"/>
    <w:rsid w:val="005143D5"/>
    <w:rsid w:val="00520AA7"/>
    <w:rsid w:val="005211E4"/>
    <w:rsid w:val="00522B05"/>
    <w:rsid w:val="00527A7D"/>
    <w:rsid w:val="00543664"/>
    <w:rsid w:val="00553413"/>
    <w:rsid w:val="0056012D"/>
    <w:rsid w:val="00560C92"/>
    <w:rsid w:val="005616BC"/>
    <w:rsid w:val="005659C4"/>
    <w:rsid w:val="00570894"/>
    <w:rsid w:val="005756DF"/>
    <w:rsid w:val="00575DCD"/>
    <w:rsid w:val="00575E65"/>
    <w:rsid w:val="00577CF2"/>
    <w:rsid w:val="00584283"/>
    <w:rsid w:val="00584F76"/>
    <w:rsid w:val="005A619A"/>
    <w:rsid w:val="005B10BD"/>
    <w:rsid w:val="005B3845"/>
    <w:rsid w:val="005B6C76"/>
    <w:rsid w:val="005C3869"/>
    <w:rsid w:val="005C7ED6"/>
    <w:rsid w:val="005D2B83"/>
    <w:rsid w:val="005D6E60"/>
    <w:rsid w:val="005E0B67"/>
    <w:rsid w:val="005E2690"/>
    <w:rsid w:val="005F2D54"/>
    <w:rsid w:val="00606698"/>
    <w:rsid w:val="00613F5F"/>
    <w:rsid w:val="006224BC"/>
    <w:rsid w:val="00625B9A"/>
    <w:rsid w:val="00632FE4"/>
    <w:rsid w:val="00637D6E"/>
    <w:rsid w:val="00640BD9"/>
    <w:rsid w:val="006433FB"/>
    <w:rsid w:val="00644E49"/>
    <w:rsid w:val="006529DE"/>
    <w:rsid w:val="00661155"/>
    <w:rsid w:val="0067371F"/>
    <w:rsid w:val="00674606"/>
    <w:rsid w:val="006749F8"/>
    <w:rsid w:val="00676B1D"/>
    <w:rsid w:val="006817D8"/>
    <w:rsid w:val="00695905"/>
    <w:rsid w:val="006A512A"/>
    <w:rsid w:val="006B1237"/>
    <w:rsid w:val="006B1379"/>
    <w:rsid w:val="006B365A"/>
    <w:rsid w:val="006B55AB"/>
    <w:rsid w:val="006B72DB"/>
    <w:rsid w:val="006B7C25"/>
    <w:rsid w:val="006D1D2E"/>
    <w:rsid w:val="006D3D37"/>
    <w:rsid w:val="006D4659"/>
    <w:rsid w:val="006E0070"/>
    <w:rsid w:val="006F16D0"/>
    <w:rsid w:val="00701583"/>
    <w:rsid w:val="007072F3"/>
    <w:rsid w:val="00715B34"/>
    <w:rsid w:val="00716FC7"/>
    <w:rsid w:val="00732650"/>
    <w:rsid w:val="00741978"/>
    <w:rsid w:val="00742B79"/>
    <w:rsid w:val="00742F78"/>
    <w:rsid w:val="007471C1"/>
    <w:rsid w:val="00754F6C"/>
    <w:rsid w:val="00757C26"/>
    <w:rsid w:val="00764851"/>
    <w:rsid w:val="0078007E"/>
    <w:rsid w:val="007A1AA4"/>
    <w:rsid w:val="007A1B35"/>
    <w:rsid w:val="007A2930"/>
    <w:rsid w:val="007B04B5"/>
    <w:rsid w:val="007B37E6"/>
    <w:rsid w:val="007C2E8A"/>
    <w:rsid w:val="007E0E0D"/>
    <w:rsid w:val="007E1663"/>
    <w:rsid w:val="007E16BF"/>
    <w:rsid w:val="007E5087"/>
    <w:rsid w:val="007E73F3"/>
    <w:rsid w:val="007F2EF0"/>
    <w:rsid w:val="007F38AF"/>
    <w:rsid w:val="00804B36"/>
    <w:rsid w:val="00810475"/>
    <w:rsid w:val="00811521"/>
    <w:rsid w:val="00815EF8"/>
    <w:rsid w:val="00817516"/>
    <w:rsid w:val="00822E3A"/>
    <w:rsid w:val="00824CD3"/>
    <w:rsid w:val="00824FFB"/>
    <w:rsid w:val="00827C37"/>
    <w:rsid w:val="008365A4"/>
    <w:rsid w:val="008557CF"/>
    <w:rsid w:val="008579FF"/>
    <w:rsid w:val="008600C3"/>
    <w:rsid w:val="0086225A"/>
    <w:rsid w:val="008640FA"/>
    <w:rsid w:val="008650F9"/>
    <w:rsid w:val="00865131"/>
    <w:rsid w:val="008818AA"/>
    <w:rsid w:val="00883719"/>
    <w:rsid w:val="00884B47"/>
    <w:rsid w:val="00887121"/>
    <w:rsid w:val="00895BEA"/>
    <w:rsid w:val="008A3E1A"/>
    <w:rsid w:val="008A4B79"/>
    <w:rsid w:val="008A509F"/>
    <w:rsid w:val="008B265C"/>
    <w:rsid w:val="008B7A6B"/>
    <w:rsid w:val="008C65B3"/>
    <w:rsid w:val="008C707B"/>
    <w:rsid w:val="008C7263"/>
    <w:rsid w:val="008D05D8"/>
    <w:rsid w:val="008D1076"/>
    <w:rsid w:val="008D226C"/>
    <w:rsid w:val="008D3588"/>
    <w:rsid w:val="008E3006"/>
    <w:rsid w:val="008E3C5A"/>
    <w:rsid w:val="008E560F"/>
    <w:rsid w:val="008E6843"/>
    <w:rsid w:val="008F2D01"/>
    <w:rsid w:val="0090171C"/>
    <w:rsid w:val="009043CC"/>
    <w:rsid w:val="009048A2"/>
    <w:rsid w:val="00904C50"/>
    <w:rsid w:val="00913D56"/>
    <w:rsid w:val="00926D44"/>
    <w:rsid w:val="009512A8"/>
    <w:rsid w:val="00956A4D"/>
    <w:rsid w:val="00956C0D"/>
    <w:rsid w:val="00956F56"/>
    <w:rsid w:val="00961126"/>
    <w:rsid w:val="009670B5"/>
    <w:rsid w:val="00984B57"/>
    <w:rsid w:val="00984FF8"/>
    <w:rsid w:val="0098697C"/>
    <w:rsid w:val="009A7970"/>
    <w:rsid w:val="009B3470"/>
    <w:rsid w:val="009B7750"/>
    <w:rsid w:val="009C5B4D"/>
    <w:rsid w:val="009C7634"/>
    <w:rsid w:val="009D1FA6"/>
    <w:rsid w:val="009D5672"/>
    <w:rsid w:val="009E0C82"/>
    <w:rsid w:val="009E4198"/>
    <w:rsid w:val="009F1BBB"/>
    <w:rsid w:val="00A0003A"/>
    <w:rsid w:val="00A037C5"/>
    <w:rsid w:val="00A04CAD"/>
    <w:rsid w:val="00A05C73"/>
    <w:rsid w:val="00A105FA"/>
    <w:rsid w:val="00A12D64"/>
    <w:rsid w:val="00A1740C"/>
    <w:rsid w:val="00A208A6"/>
    <w:rsid w:val="00A26DF9"/>
    <w:rsid w:val="00A313D1"/>
    <w:rsid w:val="00A45776"/>
    <w:rsid w:val="00A45BBB"/>
    <w:rsid w:val="00A50C54"/>
    <w:rsid w:val="00A62141"/>
    <w:rsid w:val="00A7588B"/>
    <w:rsid w:val="00A7602F"/>
    <w:rsid w:val="00A775EB"/>
    <w:rsid w:val="00A77A9C"/>
    <w:rsid w:val="00A8290A"/>
    <w:rsid w:val="00A83A3F"/>
    <w:rsid w:val="00A860BD"/>
    <w:rsid w:val="00A8788D"/>
    <w:rsid w:val="00A87AC0"/>
    <w:rsid w:val="00A91699"/>
    <w:rsid w:val="00A95ADF"/>
    <w:rsid w:val="00A965F3"/>
    <w:rsid w:val="00AA1E46"/>
    <w:rsid w:val="00AA51BF"/>
    <w:rsid w:val="00AB7DB7"/>
    <w:rsid w:val="00AC142B"/>
    <w:rsid w:val="00AC401C"/>
    <w:rsid w:val="00AC4A64"/>
    <w:rsid w:val="00AC4CBE"/>
    <w:rsid w:val="00AC5A7C"/>
    <w:rsid w:val="00AC7D7F"/>
    <w:rsid w:val="00AD5119"/>
    <w:rsid w:val="00AE1ABF"/>
    <w:rsid w:val="00AF0B13"/>
    <w:rsid w:val="00AF1FD8"/>
    <w:rsid w:val="00AF5B58"/>
    <w:rsid w:val="00B2185D"/>
    <w:rsid w:val="00B22C6B"/>
    <w:rsid w:val="00B31F4E"/>
    <w:rsid w:val="00B3689C"/>
    <w:rsid w:val="00B53782"/>
    <w:rsid w:val="00B54D64"/>
    <w:rsid w:val="00B71B0E"/>
    <w:rsid w:val="00B75DF9"/>
    <w:rsid w:val="00B82105"/>
    <w:rsid w:val="00B8231E"/>
    <w:rsid w:val="00B85AA6"/>
    <w:rsid w:val="00BB038D"/>
    <w:rsid w:val="00BC0C8A"/>
    <w:rsid w:val="00BC47DC"/>
    <w:rsid w:val="00BC7279"/>
    <w:rsid w:val="00BD58ED"/>
    <w:rsid w:val="00BE289E"/>
    <w:rsid w:val="00BE2F46"/>
    <w:rsid w:val="00BF5C13"/>
    <w:rsid w:val="00C0377E"/>
    <w:rsid w:val="00C12615"/>
    <w:rsid w:val="00C216FC"/>
    <w:rsid w:val="00C2399E"/>
    <w:rsid w:val="00C33EA8"/>
    <w:rsid w:val="00C345FD"/>
    <w:rsid w:val="00C351BF"/>
    <w:rsid w:val="00C37AB3"/>
    <w:rsid w:val="00C56A14"/>
    <w:rsid w:val="00C60AB4"/>
    <w:rsid w:val="00C801D7"/>
    <w:rsid w:val="00C8051D"/>
    <w:rsid w:val="00C80F7A"/>
    <w:rsid w:val="00C879C1"/>
    <w:rsid w:val="00C90881"/>
    <w:rsid w:val="00C95B44"/>
    <w:rsid w:val="00CA009E"/>
    <w:rsid w:val="00CB7D0D"/>
    <w:rsid w:val="00CD306C"/>
    <w:rsid w:val="00CD3ED3"/>
    <w:rsid w:val="00CE111B"/>
    <w:rsid w:val="00CE40F2"/>
    <w:rsid w:val="00CF10D0"/>
    <w:rsid w:val="00CF31CF"/>
    <w:rsid w:val="00CF3CF3"/>
    <w:rsid w:val="00D00E8E"/>
    <w:rsid w:val="00D21B09"/>
    <w:rsid w:val="00D224F1"/>
    <w:rsid w:val="00D226D7"/>
    <w:rsid w:val="00D26306"/>
    <w:rsid w:val="00D374C3"/>
    <w:rsid w:val="00D378F4"/>
    <w:rsid w:val="00D43BFC"/>
    <w:rsid w:val="00D46DA0"/>
    <w:rsid w:val="00D55DFC"/>
    <w:rsid w:val="00D613F2"/>
    <w:rsid w:val="00D62107"/>
    <w:rsid w:val="00D62659"/>
    <w:rsid w:val="00D65AA5"/>
    <w:rsid w:val="00D73ED4"/>
    <w:rsid w:val="00D909A1"/>
    <w:rsid w:val="00DA252D"/>
    <w:rsid w:val="00DB6414"/>
    <w:rsid w:val="00DD3819"/>
    <w:rsid w:val="00DD4DB9"/>
    <w:rsid w:val="00DD50E2"/>
    <w:rsid w:val="00DD7B6A"/>
    <w:rsid w:val="00DE1B7E"/>
    <w:rsid w:val="00DE3EDD"/>
    <w:rsid w:val="00DF10B1"/>
    <w:rsid w:val="00DF11C7"/>
    <w:rsid w:val="00DF7B93"/>
    <w:rsid w:val="00E00C5F"/>
    <w:rsid w:val="00E020D2"/>
    <w:rsid w:val="00E0634C"/>
    <w:rsid w:val="00E26027"/>
    <w:rsid w:val="00E27697"/>
    <w:rsid w:val="00E3382C"/>
    <w:rsid w:val="00E34BA4"/>
    <w:rsid w:val="00E3586E"/>
    <w:rsid w:val="00E36CD8"/>
    <w:rsid w:val="00E43D04"/>
    <w:rsid w:val="00E754EF"/>
    <w:rsid w:val="00E809A6"/>
    <w:rsid w:val="00E831D9"/>
    <w:rsid w:val="00E83DC7"/>
    <w:rsid w:val="00E846A6"/>
    <w:rsid w:val="00E85E02"/>
    <w:rsid w:val="00E87515"/>
    <w:rsid w:val="00E879E8"/>
    <w:rsid w:val="00E901D5"/>
    <w:rsid w:val="00E971F2"/>
    <w:rsid w:val="00EA0A92"/>
    <w:rsid w:val="00EA59F8"/>
    <w:rsid w:val="00EA6C2C"/>
    <w:rsid w:val="00EB1F66"/>
    <w:rsid w:val="00EB67DA"/>
    <w:rsid w:val="00EC6D67"/>
    <w:rsid w:val="00EC7CDE"/>
    <w:rsid w:val="00ED7471"/>
    <w:rsid w:val="00EE0A22"/>
    <w:rsid w:val="00EE0EAE"/>
    <w:rsid w:val="00EF65D1"/>
    <w:rsid w:val="00F003BD"/>
    <w:rsid w:val="00F07ADE"/>
    <w:rsid w:val="00F10E5C"/>
    <w:rsid w:val="00F14C37"/>
    <w:rsid w:val="00F16259"/>
    <w:rsid w:val="00F1640B"/>
    <w:rsid w:val="00F23E1F"/>
    <w:rsid w:val="00F259B5"/>
    <w:rsid w:val="00F33150"/>
    <w:rsid w:val="00F33F44"/>
    <w:rsid w:val="00F341EB"/>
    <w:rsid w:val="00F43FDB"/>
    <w:rsid w:val="00F5277D"/>
    <w:rsid w:val="00F60A2E"/>
    <w:rsid w:val="00F618F4"/>
    <w:rsid w:val="00F64A14"/>
    <w:rsid w:val="00F67AC6"/>
    <w:rsid w:val="00F71BB4"/>
    <w:rsid w:val="00F7394B"/>
    <w:rsid w:val="00F768DD"/>
    <w:rsid w:val="00F8297B"/>
    <w:rsid w:val="00F83671"/>
    <w:rsid w:val="00F8410E"/>
    <w:rsid w:val="00F85EDE"/>
    <w:rsid w:val="00F921AE"/>
    <w:rsid w:val="00F97EF6"/>
    <w:rsid w:val="00FA7EC7"/>
    <w:rsid w:val="00FB22A5"/>
    <w:rsid w:val="00FB42D4"/>
    <w:rsid w:val="00FC188B"/>
    <w:rsid w:val="00FD444F"/>
    <w:rsid w:val="00FF11CB"/>
    <w:rsid w:val="0105262F"/>
    <w:rsid w:val="761B5AA7"/>
    <w:rsid w:val="7AFB2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7"/>
    <w:qFormat/>
    <w:uiPriority w:val="0"/>
  </w:style>
  <w:style w:type="character" w:customStyle="1" w:styleId="15">
    <w:name w:val="纯文本 Char"/>
    <w:basedOn w:val="7"/>
    <w:link w:val="2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6">
    <w:name w:val="数字编号列项（二级）"/>
    <w:qFormat/>
    <w:uiPriority w:val="99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字母编号列项（一级）"/>
    <w:qFormat/>
    <w:uiPriority w:val="99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编号列项（三级）"/>
    <w:qFormat/>
    <w:uiPriority w:val="99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microsoft.com/office/2006/relationships/keyMapCustomizations" Target="customizations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emf"/><Relationship Id="rId14" Type="http://schemas.openxmlformats.org/officeDocument/2006/relationships/image" Target="media/image6.wmf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302</Words>
  <Characters>1725</Characters>
  <Lines>14</Lines>
  <Paragraphs>4</Paragraphs>
  <TotalTime>318</TotalTime>
  <ScaleCrop>false</ScaleCrop>
  <LinksUpToDate>false</LinksUpToDate>
  <CharactersWithSpaces>2023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2019-11-22T08:40:00Z</dcterms:created>
  <dc:creator>王丽娟</dc:creator>
  <cp:lastModifiedBy>周云鹏</cp:lastModifiedBy>
  <cp:lastPrinted>2019-12-17T09:31:00Z</cp:lastPrinted>
  <dcterms:modified xsi:type="dcterms:W3CDTF">2020-04-26T01:23:11Z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