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09" w:rsidRPr="00406409" w:rsidRDefault="00406409" w:rsidP="00406409">
      <w:pPr>
        <w:spacing w:line="640" w:lineRule="exact"/>
        <w:jc w:val="left"/>
        <w:rPr>
          <w:rFonts w:ascii="黑体" w:eastAsia="黑体" w:hAnsi="黑体" w:cs="华文中宋" w:hint="eastAsia"/>
          <w:sz w:val="32"/>
          <w:szCs w:val="32"/>
        </w:rPr>
      </w:pPr>
      <w:r w:rsidRPr="00406409">
        <w:rPr>
          <w:rFonts w:ascii="黑体" w:eastAsia="黑体" w:hAnsi="黑体" w:cs="华文中宋" w:hint="eastAsia"/>
          <w:sz w:val="32"/>
          <w:szCs w:val="32"/>
        </w:rPr>
        <w:t>附件2</w:t>
      </w:r>
    </w:p>
    <w:p w:rsidR="0005717F" w:rsidRDefault="00406409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《深圳市餐饮服务食品安全日常监督检查量化分级管理的规定</w:t>
      </w:r>
      <w:r>
        <w:rPr>
          <w:rFonts w:ascii="华文中宋" w:eastAsia="华文中宋" w:hAnsi="华文中宋" w:cs="华文中宋" w:hint="eastAsia"/>
          <w:sz w:val="44"/>
          <w:szCs w:val="44"/>
        </w:rPr>
        <w:t>》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的起草说明</w:t>
      </w:r>
    </w:p>
    <w:p w:rsidR="0005717F" w:rsidRDefault="0005717F"/>
    <w:p w:rsidR="0005717F" w:rsidRDefault="004064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一、修订背景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《深圳市餐饮服务食品安全量化分级管理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》自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2013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年施行以来，对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加强餐饮服务食品安全管理，落实餐饮服务单位食品安全主体责任，提高餐饮服务食品安全监管效能和服务水平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等发挥了重要作用。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但是，截至目前，《深圳市餐饮服务食品安全量化分级管理规定》已实施超过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年，现已失效，亟需重新出台相关文件。而且，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经过六年多的发展，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量化分级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运行基础和内外部环境发生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较大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变化，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餐饮服务食品安全监管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呈现出多元化特征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从横向看，日常监督检查、风险分级、量化分级分别出台、分别适用，分散了监管精力；从纵向看，国家、省、市餐饮服务食品安全监管规定不甚协调。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为此，有必要抓紧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优化完善餐饮服务食品安全监管制度，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对《深圳市餐饮服务食品安全量化分级管理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》进行修订。</w:t>
      </w:r>
    </w:p>
    <w:p w:rsidR="0005717F" w:rsidRDefault="004064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二、修订</w:t>
      </w:r>
      <w:r>
        <w:rPr>
          <w:rFonts w:ascii="黑体" w:eastAsia="黑体" w:hAnsi="黑体" w:cs="黑体" w:hint="eastAsia"/>
          <w:sz w:val="32"/>
          <w:szCs w:val="32"/>
        </w:rPr>
        <w:t>依据</w:t>
      </w:r>
    </w:p>
    <w:p w:rsidR="0005717F" w:rsidRDefault="00406409">
      <w:pPr>
        <w:spacing w:line="560" w:lineRule="exact"/>
        <w:ind w:firstLineChars="200" w:firstLine="676"/>
        <w:rPr>
          <w:rFonts w:ascii="黑体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依据《中华人民共和国食品安全法》、《深圳经济特区食品安全监督条例》、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食品经营许可证管理办法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食品生产经营日常监督检查管理办法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、《总局关于印发食品生产经营风险分级管理办法（试行）的通知》、《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关于实施餐饮服务食品安全监督量化分级管理工作的指导意见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》、《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总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lastRenderedPageBreak/>
        <w:t>局关于印发食品生产经营日常监督检查有关表格的通知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》、《广东省食品药品生产经营风险分级分类管理办法（试行）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广东省餐饮服务食品安全量化分级管理规定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》、《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广东省食品药品监督管理局办公室关于印发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食品经营日常监督检查要点表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&gt;&lt;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食品经营日常监督检查结果记录表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的通知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等有关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日常监督检查、风险分级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量化分级的规定，结合深圳实际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修订本规定。</w:t>
      </w:r>
    </w:p>
    <w:p w:rsidR="0005717F" w:rsidRDefault="004064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、修订思路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本次修订不是全面修订，而是在保持《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》既有框架和主要内容的基础上，按照稳中求进、急用先行、有限目标的原则，立足于服务本次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优化完善餐饮服务食品安全监管制度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，重点围绕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日常监督检查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风险分级、量化分级、违法行为记分管理制度的融合与衔接，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确立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日常监督检查实行风险分级、量化分级管理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原则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明确监管对象、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优化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量化分级管理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以及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强化食品安全监管制度衔接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等内容进行修订，为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进一步提高食品安全监管效能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提供制度支持。</w:t>
      </w:r>
    </w:p>
    <w:p w:rsidR="0005717F" w:rsidRDefault="004064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、修订主要内容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本次修订，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在保持原有体例的基础上，为契合监管机制，将原规定名称修改为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《深圳市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餐饮服务食品安全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日常监督检查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量化分级管理规定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”。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另，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在条文上，由原来的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条增至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条，主要修改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条，增加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条。调整的主要内容包括：</w:t>
      </w:r>
    </w:p>
    <w:p w:rsidR="0005717F" w:rsidRDefault="00406409">
      <w:pPr>
        <w:spacing w:line="560" w:lineRule="exact"/>
        <w:ind w:firstLineChars="200" w:firstLine="676"/>
        <w:rPr>
          <w:rFonts w:ascii="楷体_GB2312" w:eastAsia="楷体_GB2312" w:hAnsi="楷体_GB2312" w:cs="楷体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（一）</w:t>
      </w: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协调各食品安全监管制度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日常监督检查实行风险分级、量化分级管理。对餐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lastRenderedPageBreak/>
        <w:t>饮服务提供者开展餐饮服务食品安全日常监督检查实施风险分级、量化分级（以下统称“量化分级”）管理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（第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至第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）。</w:t>
      </w:r>
    </w:p>
    <w:p w:rsidR="0005717F" w:rsidRDefault="00406409">
      <w:pPr>
        <w:spacing w:line="560" w:lineRule="exact"/>
        <w:ind w:firstLineChars="200" w:firstLine="676"/>
        <w:rPr>
          <w:rFonts w:ascii="楷体_GB2312" w:eastAsia="楷体_GB2312" w:hAnsi="楷体_GB2312" w:cs="楷体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（二）</w:t>
      </w: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明确监管对象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明确监管对象为持有《食品经营许可证》的餐馆、饮品店、糕点店、微小餐饮、中央厨房、集体用餐配送单位、餐饮服务连锁企业总部、餐饮管理企业和单位食堂（第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条）。</w:t>
      </w:r>
    </w:p>
    <w:p w:rsidR="0005717F" w:rsidRDefault="00406409">
      <w:pPr>
        <w:spacing w:line="560" w:lineRule="exact"/>
        <w:ind w:firstLineChars="200" w:firstLine="676"/>
        <w:rPr>
          <w:rFonts w:ascii="楷体_GB2312" w:eastAsia="楷体_GB2312" w:hAnsi="楷体_GB2312" w:cs="楷体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（三）明确监管内容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明确监管内容许可管理、信息公示、制度管理、人员管理、环境卫生、原料控制、加工过程、场所及设施和餐饮具消毒等（第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条）。</w:t>
      </w:r>
    </w:p>
    <w:p w:rsidR="0005717F" w:rsidRDefault="00406409">
      <w:pPr>
        <w:spacing w:line="560" w:lineRule="exact"/>
        <w:ind w:firstLineChars="200" w:firstLine="676"/>
        <w:rPr>
          <w:rFonts w:ascii="楷体_GB2312" w:eastAsia="楷体_GB2312" w:hAnsi="楷体_GB2312" w:cs="楷体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（四）优化量化分级管理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与国家、省有关风险分级、量化分级管理规定进行衔接并优化。国家、广东省以及我市均有出台关于风险分级、量化分级的管理规定，其分级划分标准不尽相同。因我市量化分级标准沿用多年，已获得公众认可以并培育起充分消费认知，不宜作根本性改动。因此，本次修订在保留原划分标准的基础上，吸收上级部门有关风险分级、量化分级规定，将食品安全量化等级明确为动态风险等级，除此之外的，对存在较高食品安全风险的，不予评级（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条）。</w:t>
      </w:r>
    </w:p>
    <w:p w:rsidR="0005717F" w:rsidRDefault="00406409">
      <w:pPr>
        <w:spacing w:line="560" w:lineRule="exact"/>
        <w:ind w:firstLineChars="200" w:firstLine="676"/>
        <w:rPr>
          <w:rFonts w:ascii="楷体_GB2312" w:eastAsia="楷体_GB2312" w:hAnsi="楷体_GB2312" w:cs="楷体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五</w:t>
      </w: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）</w:t>
      </w: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规范许可证表述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食品经营许可证管理办法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》，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将《餐饮服务许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lastRenderedPageBreak/>
        <w:t>可证》变更为《食品经营许可证》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（第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条、第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条、第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）。</w:t>
      </w:r>
    </w:p>
    <w:p w:rsidR="0005717F" w:rsidRDefault="00406409">
      <w:pPr>
        <w:spacing w:line="560" w:lineRule="exact"/>
        <w:ind w:firstLineChars="200" w:firstLine="676"/>
        <w:rPr>
          <w:rFonts w:ascii="楷体_GB2312" w:eastAsia="楷体_GB2312" w:hAnsi="楷体_GB2312" w:cs="楷体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pacing w:val="9"/>
          <w:sz w:val="32"/>
          <w:szCs w:val="32"/>
          <w:shd w:val="clear" w:color="auto" w:fill="FFFFFF"/>
        </w:rPr>
        <w:t>（六）完善日常监督现场检查表</w:t>
      </w:r>
    </w:p>
    <w:p w:rsidR="0005717F" w:rsidRDefault="00406409">
      <w:pPr>
        <w:spacing w:line="560" w:lineRule="exact"/>
        <w:ind w:firstLineChars="200" w:firstLine="676"/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为加强不同监管制度的衔接，减轻餐饮服务提供者及其从业人员学习压力，提高监管效率，本规定日常监督现场检查项目在国家、省检查要点表、检查指南，食品安全操作规范以及我市原有检查项目的基础上进行修订，如普通餐饮单位的检查项目从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项增补到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33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项，并对单位食堂、集体用餐配送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中央厨房等特殊监管单位设立专门补充检查表。关键项目从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项增补到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项，一般项目数从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项增补到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项。即代表普通餐饮单位须符合更多监管要求才能评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A,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提高了评</w:t>
      </w:r>
      <w:r>
        <w:rPr>
          <w:rFonts w:ascii="仿宋_GB2312" w:eastAsia="仿宋_GB2312" w:hAnsi="仿宋_GB2312" w:cs="仿宋_GB2312"/>
          <w:color w:val="333333"/>
          <w:spacing w:val="9"/>
          <w:sz w:val="32"/>
          <w:szCs w:val="32"/>
          <w:shd w:val="clear" w:color="auto" w:fill="FFFFFF"/>
        </w:rPr>
        <w:t>A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门槛。总体而言，本次修订提高了食品安全监管要求，可以有力督促餐饮服务提供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者落实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食品安全主体责任（《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深圳市餐饮服务食品安全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日常监督现场检查记录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表</w:t>
      </w: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  <w:shd w:val="clear" w:color="auto" w:fill="FFFFFF"/>
        </w:rPr>
        <w:t>》）。</w:t>
      </w: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 w:rsidP="0005717F">
      <w:pPr>
        <w:pStyle w:val="a3"/>
        <w:widowControl/>
        <w:wordWrap w:val="0"/>
        <w:spacing w:beforeAutospacing="0" w:afterAutospacing="0"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5717F" w:rsidRDefault="0005717F"/>
    <w:sectPr w:rsidR="0005717F" w:rsidSect="000571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09" w:rsidRDefault="00406409" w:rsidP="00406409">
      <w:r>
        <w:separator/>
      </w:r>
    </w:p>
  </w:endnote>
  <w:endnote w:type="continuationSeparator" w:id="0">
    <w:p w:rsidR="00406409" w:rsidRDefault="00406409" w:rsidP="0040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93"/>
      <w:docPartObj>
        <w:docPartGallery w:val="Page Numbers (Bottom of Page)"/>
        <w:docPartUnique/>
      </w:docPartObj>
    </w:sdtPr>
    <w:sdtContent>
      <w:p w:rsidR="00406409" w:rsidRDefault="00406409">
        <w:pPr>
          <w:pStyle w:val="a5"/>
          <w:jc w:val="center"/>
        </w:pPr>
        <w:fldSimple w:instr=" PAGE   \* MERGEFORMAT ">
          <w:r w:rsidRPr="00406409">
            <w:rPr>
              <w:noProof/>
              <w:lang w:val="zh-CN"/>
            </w:rPr>
            <w:t>4</w:t>
          </w:r>
        </w:fldSimple>
      </w:p>
    </w:sdtContent>
  </w:sdt>
  <w:p w:rsidR="00406409" w:rsidRDefault="004064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09" w:rsidRDefault="00406409" w:rsidP="00406409">
      <w:r>
        <w:separator/>
      </w:r>
    </w:p>
  </w:footnote>
  <w:footnote w:type="continuationSeparator" w:id="0">
    <w:p w:rsidR="00406409" w:rsidRDefault="00406409" w:rsidP="0040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0C66D1"/>
    <w:rsid w:val="0005717F"/>
    <w:rsid w:val="00406409"/>
    <w:rsid w:val="27BB261C"/>
    <w:rsid w:val="570C66D1"/>
    <w:rsid w:val="662C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1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717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0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640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06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4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8F4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Company>Sky123.Org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洪慕鑫</dc:creator>
  <cp:lastModifiedBy>史赛贤</cp:lastModifiedBy>
  <cp:revision>2</cp:revision>
  <dcterms:created xsi:type="dcterms:W3CDTF">2020-05-09T02:29:00Z</dcterms:created>
  <dcterms:modified xsi:type="dcterms:W3CDTF">2020-05-13T02:39:00Z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