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宋体" w:hAnsi="宋体"/>
          <w:b/>
          <w:sz w:val="44"/>
          <w:szCs w:val="44"/>
        </w:rPr>
      </w:pPr>
      <w:r>
        <w:rPr>
          <w:rFonts w:hint="eastAsia" w:ascii="黑体" w:hAnsi="黑体" w:eastAsia="黑体" w:cs="黑体"/>
          <w:color w:val="000000"/>
          <w:sz w:val="32"/>
          <w:szCs w:val="32"/>
        </w:rPr>
        <w:t>附件</w:t>
      </w:r>
    </w:p>
    <w:p>
      <w:pPr>
        <w:snapToGrid w:val="0"/>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深圳市市场监督管理局2020年</w:t>
      </w:r>
    </w:p>
    <w:p>
      <w:pPr>
        <w:snapToGrid w:val="0"/>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第二期食品快检产品抽查评价实施方案</w:t>
      </w:r>
    </w:p>
    <w:p>
      <w:pPr>
        <w:jc w:val="center"/>
        <w:rPr>
          <w:rFonts w:ascii="宋体" w:hAnsi="宋体"/>
          <w:sz w:val="36"/>
          <w:szCs w:val="44"/>
        </w:rPr>
      </w:pPr>
    </w:p>
    <w:p>
      <w:pPr>
        <w:ind w:firstLine="640" w:firstLineChars="200"/>
        <w:rPr>
          <w:rFonts w:eastAsia="仿宋_GB2312"/>
          <w:sz w:val="32"/>
          <w:szCs w:val="32"/>
        </w:rPr>
      </w:pPr>
      <w:r>
        <w:rPr>
          <w:rFonts w:eastAsia="仿宋_GB2312"/>
          <w:sz w:val="32"/>
          <w:szCs w:val="32"/>
        </w:rPr>
        <w:t>按照《深圳市市场和质量监督管理委员会关于印发食品安全初步筛查管理规定（试行）的通知》的要求，食品安全初步筛查所采用的快检产品应当符合国家、省、市食品安全监督管理部门的评价要求。</w:t>
      </w:r>
      <w:r>
        <w:rPr>
          <w:rFonts w:hint="eastAsia" w:eastAsia="仿宋_GB2312"/>
          <w:sz w:val="32"/>
          <w:szCs w:val="32"/>
        </w:rPr>
        <w:t>为加强快速检测产品的评价和应用推广工作，规范快速检测技术在食品安全监管中的应用，</w:t>
      </w:r>
      <w:r>
        <w:rPr>
          <w:rFonts w:eastAsia="仿宋_GB2312"/>
          <w:kern w:val="0"/>
          <w:sz w:val="32"/>
          <w:szCs w:val="32"/>
        </w:rPr>
        <w:t>提高我市食品安全快速检测的技术能力</w:t>
      </w:r>
      <w:r>
        <w:rPr>
          <w:rFonts w:eastAsia="仿宋_GB2312"/>
          <w:sz w:val="32"/>
          <w:szCs w:val="32"/>
        </w:rPr>
        <w:t>，</w:t>
      </w:r>
      <w:r>
        <w:rPr>
          <w:rFonts w:eastAsia="仿宋_GB2312"/>
          <w:kern w:val="0"/>
          <w:sz w:val="32"/>
          <w:szCs w:val="32"/>
        </w:rPr>
        <w:t>现面向社会公开征集食品快检产品，开</w:t>
      </w:r>
      <w:r>
        <w:rPr>
          <w:rFonts w:hint="eastAsia" w:ascii="仿宋_GB2312" w:hAnsi="仿宋_GB2312" w:eastAsia="仿宋_GB2312" w:cs="仿宋_GB2312"/>
          <w:kern w:val="0"/>
          <w:sz w:val="32"/>
          <w:szCs w:val="32"/>
        </w:rPr>
        <w:t>展2020年第二</w:t>
      </w:r>
      <w:r>
        <w:rPr>
          <w:rFonts w:eastAsia="仿宋_GB2312"/>
          <w:kern w:val="0"/>
          <w:sz w:val="32"/>
          <w:szCs w:val="32"/>
        </w:rPr>
        <w:t>期快检产品抽查评价工作。</w:t>
      </w:r>
      <w:r>
        <w:rPr>
          <w:rFonts w:hint="eastAsia" w:eastAsia="仿宋_GB2312"/>
          <w:sz w:val="32"/>
          <w:szCs w:val="32"/>
        </w:rPr>
        <w:t>现将征集范围及有关事项通知如下：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一、评价对象</w:t>
      </w:r>
    </w:p>
    <w:p>
      <w:pPr>
        <w:ind w:firstLine="640" w:firstLineChars="200"/>
        <w:rPr>
          <w:rFonts w:eastAsia="仿宋_GB2312"/>
          <w:sz w:val="32"/>
          <w:szCs w:val="32"/>
        </w:rPr>
      </w:pPr>
      <w:r>
        <w:rPr>
          <w:rFonts w:eastAsia="仿宋_GB2312"/>
          <w:sz w:val="32"/>
          <w:szCs w:val="32"/>
        </w:rPr>
        <w:t>本次食品快检产品评价对象为服务于深圳市食品安全快速筛查工作的快检产品。</w:t>
      </w:r>
      <w:r>
        <w:rPr>
          <w:rFonts w:hint="eastAsia" w:eastAsia="仿宋_GB2312"/>
          <w:sz w:val="32"/>
          <w:szCs w:val="32"/>
        </w:rPr>
        <w:t>评价的</w:t>
      </w:r>
      <w:r>
        <w:rPr>
          <w:rFonts w:eastAsia="仿宋_GB2312"/>
          <w:sz w:val="32"/>
          <w:szCs w:val="32"/>
        </w:rPr>
        <w:t>项目主要</w:t>
      </w:r>
      <w:r>
        <w:rPr>
          <w:rFonts w:hint="eastAsia" w:eastAsia="仿宋_GB2312"/>
          <w:sz w:val="32"/>
          <w:szCs w:val="32"/>
        </w:rPr>
        <w:t>为</w:t>
      </w:r>
      <w:r>
        <w:rPr>
          <w:rFonts w:eastAsia="仿宋_GB2312"/>
          <w:sz w:val="32"/>
          <w:szCs w:val="32"/>
        </w:rPr>
        <w:t>农兽药残留、非法添加物、生物毒素、致病菌等。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二、评价机构</w:t>
      </w:r>
    </w:p>
    <w:p>
      <w:pPr>
        <w:ind w:firstLine="640" w:firstLineChars="200"/>
        <w:rPr>
          <w:rFonts w:eastAsia="仿宋_GB2312"/>
          <w:sz w:val="32"/>
          <w:szCs w:val="32"/>
        </w:rPr>
      </w:pPr>
      <w:r>
        <w:rPr>
          <w:rFonts w:eastAsia="仿宋_GB2312"/>
          <w:sz w:val="32"/>
          <w:szCs w:val="32"/>
        </w:rPr>
        <w:t>深圳市市场监督管理局委托深圳市计量质量检测研究院（以下简称</w:t>
      </w:r>
      <w:r>
        <w:rPr>
          <w:rFonts w:hint="eastAsia" w:eastAsia="仿宋_GB2312"/>
          <w:sz w:val="32"/>
          <w:szCs w:val="32"/>
        </w:rPr>
        <w:t>“</w:t>
      </w:r>
      <w:r>
        <w:rPr>
          <w:rFonts w:eastAsia="仿宋_GB2312"/>
          <w:sz w:val="32"/>
          <w:szCs w:val="32"/>
        </w:rPr>
        <w:t>市检测院</w:t>
      </w:r>
      <w:r>
        <w:rPr>
          <w:rFonts w:hint="eastAsia" w:eastAsia="仿宋_GB2312"/>
          <w:sz w:val="32"/>
          <w:szCs w:val="32"/>
        </w:rPr>
        <w:t>”</w:t>
      </w:r>
      <w:r>
        <w:rPr>
          <w:rFonts w:eastAsia="仿宋_GB2312"/>
          <w:sz w:val="32"/>
          <w:szCs w:val="32"/>
        </w:rPr>
        <w:t>）和深圳市农产品质量安全检验检测中心（以下简称</w:t>
      </w:r>
      <w:r>
        <w:rPr>
          <w:rFonts w:hint="eastAsia" w:eastAsia="仿宋_GB2312"/>
          <w:sz w:val="32"/>
          <w:szCs w:val="32"/>
        </w:rPr>
        <w:t>“</w:t>
      </w:r>
      <w:r>
        <w:rPr>
          <w:rFonts w:eastAsia="仿宋_GB2312"/>
          <w:sz w:val="32"/>
          <w:szCs w:val="32"/>
        </w:rPr>
        <w:t>市农检中心</w:t>
      </w:r>
      <w:r>
        <w:rPr>
          <w:rFonts w:hint="eastAsia" w:eastAsia="仿宋_GB2312"/>
          <w:sz w:val="32"/>
          <w:szCs w:val="32"/>
        </w:rPr>
        <w:t>”</w:t>
      </w:r>
      <w:r>
        <w:rPr>
          <w:rFonts w:eastAsia="仿宋_GB2312"/>
          <w:sz w:val="32"/>
          <w:szCs w:val="32"/>
        </w:rPr>
        <w:t>）组织开展评价、结果分析、复核等工作。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三、评价程序</w:t>
      </w:r>
    </w:p>
    <w:p>
      <w:pPr>
        <w:numPr>
          <w:ilvl w:val="0"/>
          <w:numId w:val="1"/>
        </w:numPr>
        <w:ind w:left="0" w:firstLine="640" w:firstLineChars="200"/>
        <w:rPr>
          <w:rFonts w:eastAsia="仿宋_GB2312"/>
          <w:sz w:val="32"/>
          <w:szCs w:val="32"/>
        </w:rPr>
      </w:pPr>
      <w:r>
        <w:rPr>
          <w:rFonts w:eastAsia="仿宋_GB2312"/>
          <w:sz w:val="32"/>
          <w:szCs w:val="32"/>
        </w:rPr>
        <w:t>公开征集：本次评价面向社会公开征集食品快检</w:t>
      </w:r>
      <w:r>
        <w:rPr>
          <w:rFonts w:eastAsia="仿宋_GB2312"/>
          <w:kern w:val="0"/>
          <w:sz w:val="32"/>
          <w:szCs w:val="32"/>
        </w:rPr>
        <w:t>产品，由快检产品生产企业/代理商</w:t>
      </w:r>
      <w:r>
        <w:rPr>
          <w:rFonts w:eastAsia="仿宋_GB2312"/>
          <w:sz w:val="32"/>
          <w:szCs w:val="32"/>
        </w:rPr>
        <w:t>（进口产品可由代理商）提出</w:t>
      </w:r>
      <w:r>
        <w:rPr>
          <w:rFonts w:eastAsia="仿宋_GB2312"/>
          <w:kern w:val="0"/>
          <w:sz w:val="32"/>
          <w:szCs w:val="32"/>
        </w:rPr>
        <w:t>申请。申请评价的快检产品，须为</w:t>
      </w:r>
      <w:r>
        <w:rPr>
          <w:rFonts w:eastAsia="仿宋_GB2312"/>
          <w:sz w:val="32"/>
          <w:szCs w:val="32"/>
        </w:rPr>
        <w:t>深圳市食品安全快速筛查工作在用或急需的，满足食品安全监管需求的快检产品。</w:t>
      </w:r>
    </w:p>
    <w:p>
      <w:pPr>
        <w:ind w:firstLine="640" w:firstLineChars="200"/>
        <w:rPr>
          <w:rFonts w:eastAsia="仿宋_GB2312"/>
          <w:sz w:val="32"/>
          <w:szCs w:val="32"/>
          <w:highlight w:val="yellow"/>
        </w:rPr>
      </w:pPr>
      <w:r>
        <w:rPr>
          <w:rFonts w:eastAsia="仿宋_GB2312"/>
          <w:sz w:val="32"/>
          <w:szCs w:val="32"/>
        </w:rPr>
        <w:t>由快检产品生产企业/代理商按照附件要求提交《食品快速检测产品评价申请</w:t>
      </w:r>
      <w:r>
        <w:rPr>
          <w:rFonts w:hint="eastAsia" w:ascii="仿宋_GB2312" w:hAnsi="仿宋_GB2312" w:eastAsia="仿宋_GB2312" w:cs="仿宋_GB2312"/>
          <w:kern w:val="0"/>
          <w:sz w:val="32"/>
          <w:szCs w:val="32"/>
        </w:rPr>
        <w:t>书》（见附件1）及按照《快检产品自评材料清单》准备自评材料（见附件2），在规定时间</w:t>
      </w:r>
      <w:r>
        <w:rPr>
          <w:rFonts w:eastAsia="仿宋_GB2312"/>
          <w:sz w:val="32"/>
          <w:szCs w:val="32"/>
        </w:rPr>
        <w:t>内提交申请。由市市场监督管理局组织市检测院审查申报材料，申报材料不满足要求的，不予评价。</w:t>
      </w:r>
    </w:p>
    <w:p>
      <w:pPr>
        <w:numPr>
          <w:ilvl w:val="0"/>
          <w:numId w:val="1"/>
        </w:numPr>
        <w:ind w:left="0" w:firstLine="640" w:firstLineChars="200"/>
        <w:rPr>
          <w:rFonts w:eastAsia="仿宋_GB2312"/>
          <w:sz w:val="32"/>
          <w:szCs w:val="32"/>
        </w:rPr>
      </w:pPr>
      <w:r>
        <w:rPr>
          <w:rFonts w:eastAsia="仿宋_GB2312"/>
          <w:sz w:val="32"/>
          <w:szCs w:val="32"/>
        </w:rPr>
        <w:t>评价名单遴选：由市市场监督管理局组织召开专家研讨会，按照遴选原则，遴选本期拟评价产品名单。</w:t>
      </w:r>
    </w:p>
    <w:p>
      <w:pPr>
        <w:numPr>
          <w:ilvl w:val="0"/>
          <w:numId w:val="1"/>
        </w:numPr>
        <w:ind w:left="0" w:firstLine="640" w:firstLineChars="200"/>
        <w:rPr>
          <w:rFonts w:eastAsia="仿宋_GB2312"/>
          <w:sz w:val="32"/>
          <w:szCs w:val="32"/>
        </w:rPr>
      </w:pPr>
      <w:r>
        <w:rPr>
          <w:rFonts w:eastAsia="仿宋_GB2312"/>
          <w:sz w:val="32"/>
          <w:szCs w:val="32"/>
        </w:rPr>
        <w:t>组织评价：市检测院、市农检中心按照深圳市市场监督管理局印发的《深圳市市场监督管理局食品快速检测产品评价技术</w:t>
      </w:r>
      <w:r>
        <w:rPr>
          <w:rFonts w:hint="eastAsia" w:eastAsia="仿宋_GB2312"/>
          <w:sz w:val="32"/>
          <w:szCs w:val="32"/>
        </w:rPr>
        <w:t>方案（修订）</w:t>
      </w:r>
      <w:r>
        <w:rPr>
          <w:rFonts w:eastAsia="仿宋_GB2312"/>
          <w:sz w:val="32"/>
          <w:szCs w:val="32"/>
        </w:rPr>
        <w:t>》的要求，开展评价工作。</w:t>
      </w:r>
    </w:p>
    <w:p>
      <w:pPr>
        <w:numPr>
          <w:ilvl w:val="0"/>
          <w:numId w:val="1"/>
        </w:numPr>
        <w:ind w:left="0" w:firstLine="640" w:firstLineChars="200"/>
        <w:rPr>
          <w:rFonts w:eastAsia="仿宋_GB2312"/>
          <w:sz w:val="32"/>
          <w:szCs w:val="32"/>
        </w:rPr>
      </w:pPr>
      <w:r>
        <w:rPr>
          <w:rFonts w:eastAsia="仿宋_GB2312"/>
          <w:sz w:val="32"/>
          <w:szCs w:val="32"/>
        </w:rPr>
        <w:t>名单发布：市市场监督管理局对评价机构提交的评价结果进行审核并发布。</w:t>
      </w:r>
    </w:p>
    <w:p>
      <w:pPr>
        <w:numPr>
          <w:ilvl w:val="0"/>
          <w:numId w:val="1"/>
        </w:numPr>
        <w:ind w:left="0" w:firstLine="640" w:firstLineChars="200"/>
        <w:rPr>
          <w:rFonts w:eastAsia="仿宋_GB2312"/>
          <w:sz w:val="32"/>
          <w:szCs w:val="32"/>
        </w:rPr>
      </w:pPr>
      <w:r>
        <w:rPr>
          <w:rFonts w:eastAsia="仿宋_GB2312"/>
          <w:sz w:val="32"/>
          <w:szCs w:val="32"/>
        </w:rPr>
        <w:t>结果复核：对初次评价结果存在异议的，快检产品生产商/代理商在收到评价结果后</w:t>
      </w:r>
      <w:r>
        <w:rPr>
          <w:rFonts w:hint="eastAsia" w:ascii="仿宋_GB2312" w:hAnsi="仿宋_GB2312" w:eastAsia="仿宋_GB2312" w:cs="仿宋_GB2312"/>
          <w:sz w:val="32"/>
          <w:szCs w:val="32"/>
        </w:rPr>
        <w:t>5</w:t>
      </w:r>
      <w:r>
        <w:rPr>
          <w:rFonts w:eastAsia="仿宋_GB2312"/>
          <w:sz w:val="32"/>
          <w:szCs w:val="32"/>
        </w:rPr>
        <w:t>个工作日内可提出书面申请（需提供相关证据），深圳市市监管局组织复核评价。复核机构与初次评价机构不为同一机构。评价结果以复核结果为准。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四、评价名单遴选原则</w:t>
      </w:r>
    </w:p>
    <w:p>
      <w:pPr>
        <w:ind w:firstLine="640" w:firstLineChars="200"/>
        <w:rPr>
          <w:rFonts w:eastAsia="仿宋_GB2312"/>
          <w:sz w:val="32"/>
          <w:szCs w:val="32"/>
        </w:rPr>
      </w:pPr>
      <w:r>
        <w:rPr>
          <w:rFonts w:eastAsia="仿宋_GB2312"/>
          <w:sz w:val="32"/>
          <w:szCs w:val="32"/>
        </w:rPr>
        <w:t>限于评价所需人力物力财力资源有限，每个生产企业/代理商申请评价的产品参数不超</w:t>
      </w:r>
      <w:r>
        <w:rPr>
          <w:rFonts w:hint="eastAsia" w:ascii="仿宋_GB2312" w:hAnsi="仿宋_GB2312" w:eastAsia="仿宋_GB2312" w:cs="仿宋_GB2312"/>
          <w:sz w:val="32"/>
          <w:szCs w:val="32"/>
        </w:rPr>
        <w:t>过6个（一个检测项目计为一个参数，农残检测卡/农残酶抑制试剂按一个检测项目计），超过限定参数申报的原则上不予评价。如申请评价的快检产品参数数量超出评价能力时，市市场监督管理局根据我市食品安全保障的需要，结合快检和抽样检验的相关情况，以问题及食品安全监管需求为导向，组织相关方面专家对所申</w:t>
      </w:r>
      <w:r>
        <w:rPr>
          <w:rFonts w:eastAsia="仿宋_GB2312"/>
          <w:sz w:val="32"/>
          <w:szCs w:val="32"/>
        </w:rPr>
        <w:t>报的快检产品进行遴选，遴选优先原则如下：</w:t>
      </w:r>
    </w:p>
    <w:p>
      <w:pPr>
        <w:ind w:firstLine="640" w:firstLineChars="200"/>
        <w:rPr>
          <w:rFonts w:eastAsia="仿宋_GB2312"/>
          <w:sz w:val="32"/>
          <w:szCs w:val="32"/>
        </w:rPr>
      </w:pPr>
      <w:r>
        <w:rPr>
          <w:rFonts w:hint="eastAsia" w:eastAsia="仿宋_GB2312"/>
          <w:sz w:val="32"/>
          <w:szCs w:val="32"/>
        </w:rPr>
        <w:t>（一）有市场监管需求，但目前比较欠缺的快检产品，比如针对食品中的禁用农兽药、非法添加物、生物毒素、致病菌等，</w:t>
      </w:r>
      <w:r>
        <w:rPr>
          <w:rFonts w:eastAsia="仿宋_GB2312"/>
          <w:sz w:val="32"/>
          <w:szCs w:val="32"/>
        </w:rPr>
        <w:t>技术成熟、质量稳定</w:t>
      </w:r>
      <w:r>
        <w:rPr>
          <w:rFonts w:hint="eastAsia" w:eastAsia="仿宋_GB2312"/>
          <w:sz w:val="32"/>
          <w:szCs w:val="32"/>
        </w:rPr>
        <w:t>、</w:t>
      </w:r>
      <w:r>
        <w:rPr>
          <w:rFonts w:eastAsia="仿宋_GB2312"/>
          <w:sz w:val="32"/>
          <w:szCs w:val="32"/>
        </w:rPr>
        <w:t>特异性强的快检产品</w:t>
      </w:r>
      <w:r>
        <w:rPr>
          <w:rFonts w:hint="eastAsia" w:eastAsia="仿宋_GB2312"/>
          <w:sz w:val="32"/>
          <w:szCs w:val="32"/>
        </w:rPr>
        <w:t>；</w:t>
      </w:r>
    </w:p>
    <w:p>
      <w:pPr>
        <w:ind w:firstLine="640" w:firstLineChars="200"/>
        <w:rPr>
          <w:rFonts w:eastAsia="仿宋_GB2312"/>
          <w:sz w:val="32"/>
          <w:szCs w:val="32"/>
        </w:rPr>
      </w:pPr>
      <w:r>
        <w:rPr>
          <w:rFonts w:eastAsia="仿宋_GB2312"/>
          <w:sz w:val="32"/>
          <w:szCs w:val="32"/>
        </w:rPr>
        <w:t>（二）重大活动食品安全保障工作中急需的，针对高毒性、高危害指标</w:t>
      </w:r>
      <w:r>
        <w:rPr>
          <w:rFonts w:hint="eastAsia" w:eastAsia="仿宋_GB2312"/>
          <w:sz w:val="32"/>
          <w:szCs w:val="32"/>
        </w:rPr>
        <w:t>，</w:t>
      </w:r>
      <w:r>
        <w:rPr>
          <w:rFonts w:eastAsia="仿宋_GB2312"/>
          <w:sz w:val="32"/>
          <w:szCs w:val="32"/>
        </w:rPr>
        <w:t>技术成熟、质量稳定的快检产品；</w:t>
      </w:r>
    </w:p>
    <w:p>
      <w:pPr>
        <w:ind w:firstLine="640" w:firstLineChars="200"/>
        <w:rPr>
          <w:rFonts w:hint="eastAsia" w:eastAsia="仿宋_GB2312"/>
          <w:sz w:val="32"/>
          <w:szCs w:val="32"/>
        </w:rPr>
      </w:pPr>
      <w:r>
        <w:rPr>
          <w:rFonts w:eastAsia="仿宋_GB2312"/>
          <w:sz w:val="32"/>
          <w:szCs w:val="32"/>
        </w:rPr>
        <w:t>（三）深圳市《</w:t>
      </w:r>
      <w:r>
        <w:rPr>
          <w:rFonts w:eastAsia="仿宋_GB2312"/>
          <w:kern w:val="0"/>
          <w:sz w:val="32"/>
          <w:szCs w:val="32"/>
        </w:rPr>
        <w:t>食品快速检测产品已评价产品目录</w:t>
      </w:r>
      <w:r>
        <w:rPr>
          <w:rFonts w:eastAsia="仿宋_GB2312"/>
          <w:sz w:val="32"/>
          <w:szCs w:val="32"/>
        </w:rPr>
        <w:t>》中独家供应商的</w:t>
      </w:r>
      <w:r>
        <w:rPr>
          <w:rFonts w:hint="eastAsia" w:eastAsia="仿宋_GB2312"/>
          <w:sz w:val="32"/>
          <w:szCs w:val="32"/>
        </w:rPr>
        <w:t>快检产品；</w:t>
      </w:r>
    </w:p>
    <w:p>
      <w:pPr>
        <w:ind w:firstLine="640" w:firstLineChars="200"/>
        <w:rPr>
          <w:rFonts w:hint="eastAsia" w:ascii="仿宋_GB2312" w:hAnsi="仿宋_GB2312" w:eastAsia="仿宋_GB2312" w:cs="仿宋_GB2312"/>
          <w:sz w:val="32"/>
          <w:szCs w:val="32"/>
        </w:rPr>
      </w:pPr>
      <w:r>
        <w:rPr>
          <w:rFonts w:hint="eastAsia" w:eastAsia="仿宋_GB2312"/>
          <w:sz w:val="32"/>
          <w:szCs w:val="32"/>
        </w:rPr>
        <w:t>（四）</w:t>
      </w:r>
      <w:r>
        <w:rPr>
          <w:rFonts w:hint="eastAsia" w:ascii="仿宋_GB2312" w:hAnsi="仿宋_GB2312" w:eastAsia="仿宋_GB2312" w:cs="仿宋_GB2312"/>
          <w:sz w:val="32"/>
          <w:szCs w:val="32"/>
        </w:rPr>
        <w:t>2019-2020年深圳市市场监督管理局组织的快检产品评价不符合要求的，后经整改和技术改进的快检产品；</w:t>
      </w:r>
    </w:p>
    <w:p>
      <w:pPr>
        <w:ind w:firstLine="640" w:firstLineChars="200"/>
        <w:rPr>
          <w:rFonts w:hint="eastAsia" w:eastAsia="仿宋_GB2312"/>
          <w:sz w:val="32"/>
          <w:szCs w:val="32"/>
        </w:rPr>
      </w:pPr>
      <w:r>
        <w:rPr>
          <w:rFonts w:hint="eastAsia" w:ascii="仿宋_GB2312" w:hAnsi="仿宋_GB2312" w:eastAsia="仿宋_GB2312" w:cs="仿宋_GB2312"/>
          <w:sz w:val="32"/>
          <w:szCs w:val="32"/>
        </w:rPr>
        <w:t>（五）原则上评价参数比例为农兽残：非法添加物：生物毒素（包括致病菌）为3:2:1。</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五、相关要求</w:t>
      </w:r>
    </w:p>
    <w:p>
      <w:pPr>
        <w:ind w:firstLine="640" w:firstLineChars="200"/>
        <w:rPr>
          <w:rFonts w:eastAsia="仿宋_GB2312"/>
          <w:sz w:val="32"/>
          <w:szCs w:val="32"/>
        </w:rPr>
      </w:pPr>
      <w:r>
        <w:rPr>
          <w:rFonts w:eastAsia="仿宋_GB2312"/>
          <w:sz w:val="32"/>
          <w:szCs w:val="32"/>
        </w:rPr>
        <w:t>（一）被抽样单位须无偿提供评价过程中所需的快检产品（包括初次评价及复核评价所需数量）。未能无偿提供足量快检产品的，将不予评价。评价机构应从快检产品生产企业/代理商抽取评价所需的快检产品。</w:t>
      </w:r>
    </w:p>
    <w:p>
      <w:pPr>
        <w:ind w:firstLine="640" w:firstLineChars="200"/>
        <w:rPr>
          <w:rFonts w:eastAsia="仿宋_GB2312"/>
          <w:sz w:val="32"/>
          <w:szCs w:val="32"/>
        </w:rPr>
      </w:pPr>
      <w:r>
        <w:rPr>
          <w:rFonts w:eastAsia="仿宋_GB2312"/>
          <w:sz w:val="32"/>
          <w:szCs w:val="32"/>
        </w:rPr>
        <w:t>（二）快检产品生产企业/代理商应提供真实的自评材料，如快检产品供应商提供虚假材料，深圳市市场监督管理局将不予评价，后续也不再受理该申请方的评价申请。</w:t>
      </w:r>
    </w:p>
    <w:p>
      <w:pPr>
        <w:ind w:firstLine="640" w:firstLineChars="200"/>
        <w:rPr>
          <w:rFonts w:eastAsia="仿宋_GB2312"/>
          <w:sz w:val="32"/>
          <w:szCs w:val="32"/>
        </w:rPr>
      </w:pPr>
      <w:r>
        <w:rPr>
          <w:rFonts w:hint="eastAsia" w:eastAsia="仿宋_GB2312"/>
          <w:sz w:val="32"/>
          <w:szCs w:val="32"/>
        </w:rPr>
        <w:t>（三）</w:t>
      </w:r>
      <w:r>
        <w:rPr>
          <w:rFonts w:eastAsia="仿宋_GB2312"/>
          <w:sz w:val="32"/>
          <w:szCs w:val="32"/>
        </w:rPr>
        <w:t>申请书</w:t>
      </w:r>
      <w:r>
        <w:rPr>
          <w:rFonts w:hint="eastAsia" w:eastAsia="仿宋_GB2312"/>
          <w:sz w:val="32"/>
          <w:szCs w:val="32"/>
        </w:rPr>
        <w:t>需提交电子版一份，</w:t>
      </w:r>
      <w:r>
        <w:rPr>
          <w:rFonts w:hint="eastAsia" w:ascii="仿宋_GB2312" w:hAnsi="仿宋_GB2312" w:eastAsia="仿宋_GB2312" w:cs="仿宋_GB2312"/>
          <w:sz w:val="32"/>
          <w:szCs w:val="32"/>
        </w:rPr>
        <w:t>所有申请材料必须一次性提交完,不接受任何修改和补交。</w:t>
      </w:r>
    </w:p>
    <w:p>
      <w:pPr>
        <w:ind w:firstLine="640" w:firstLineChars="200"/>
        <w:rPr>
          <w:rFonts w:eastAsia="仿宋_GB2312"/>
          <w:sz w:val="32"/>
          <w:szCs w:val="32"/>
        </w:rPr>
      </w:pPr>
      <w:r>
        <w:rPr>
          <w:rFonts w:hint="eastAsia" w:eastAsia="仿宋_GB2312"/>
          <w:sz w:val="32"/>
          <w:szCs w:val="32"/>
        </w:rPr>
        <w:t>（四）经评价符合要求的快检产品，不得擅自修改产品包装、标签标识、说明书。</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六、材料提交时间</w:t>
      </w:r>
    </w:p>
    <w:p>
      <w:pPr>
        <w:ind w:firstLine="640" w:firstLineChars="200"/>
        <w:rPr>
          <w:rFonts w:ascii="仿宋_GB2312" w:hAnsi="仿宋_GB2312" w:eastAsia="仿宋_GB2312" w:cs="仿宋_GB2312"/>
          <w:sz w:val="32"/>
          <w:szCs w:val="32"/>
        </w:rPr>
      </w:pPr>
      <w:r>
        <w:rPr>
          <w:rFonts w:eastAsia="仿宋_GB2312"/>
          <w:sz w:val="32"/>
          <w:szCs w:val="32"/>
        </w:rPr>
        <w:t>申请书及自评材料按顺序胶装后</w:t>
      </w:r>
      <w:r>
        <w:rPr>
          <w:rFonts w:hint="eastAsia" w:ascii="仿宋_GB2312" w:hAnsi="仿宋_GB2312" w:eastAsia="仿宋_GB2312" w:cs="仿宋_GB2312"/>
          <w:sz w:val="32"/>
          <w:szCs w:val="32"/>
        </w:rPr>
        <w:t>现场或邮寄提交（以现场提交或邮寄时间为准，邮寄后请电话告知接收联系人），</w:t>
      </w:r>
      <w:r>
        <w:rPr>
          <w:rFonts w:hint="eastAsia" w:ascii="仿宋_GB2312" w:hAnsi="仿宋_GB2312" w:eastAsia="仿宋_GB2312" w:cs="仿宋_GB2312"/>
          <w:kern w:val="0"/>
          <w:sz w:val="32"/>
          <w:szCs w:val="32"/>
        </w:rPr>
        <w:t>2020年7月24日</w:t>
      </w:r>
      <w:r>
        <w:rPr>
          <w:rFonts w:hint="eastAsia" w:ascii="仿宋_GB2312" w:hAnsi="仿宋_GB2312" w:eastAsia="仿宋_GB2312" w:cs="仿宋_GB2312"/>
          <w:sz w:val="32"/>
          <w:szCs w:val="32"/>
        </w:rPr>
        <w:t>截止提交，未按期按要求提交申请及自评材料的，不纳入评价名单。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邮寄地址：深圳市龙华区民治街道民康路口北114号深圳市计量质量检测研究院2号楼101室；联系人：王韦达、尚军，联系电话：0755-86008868-81157，邮箱：syxtc@mail.amr.sz.gov.cn。</w:t>
      </w:r>
    </w:p>
    <w:p>
      <w:pPr>
        <w:ind w:firstLine="640" w:firstLineChars="200"/>
        <w:rPr>
          <w:rFonts w:eastAsia="仿宋_GB2312"/>
          <w:sz w:val="32"/>
          <w:szCs w:val="32"/>
        </w:rPr>
      </w:pPr>
    </w:p>
    <w:p>
      <w:pPr>
        <w:ind w:firstLine="640" w:firstLineChars="200"/>
        <w:rPr>
          <w:rFonts w:ascii="仿宋_GB2312" w:hAnsi="仿宋_GB2312" w:eastAsia="仿宋_GB2312" w:cs="仿宋_GB2312"/>
          <w:sz w:val="32"/>
          <w:szCs w:val="32"/>
        </w:rPr>
      </w:pPr>
      <w:r>
        <w:rPr>
          <w:rFonts w:eastAsia="仿宋_GB2312"/>
          <w:sz w:val="32"/>
          <w:szCs w:val="32"/>
        </w:rPr>
        <w:t>附件</w:t>
      </w:r>
      <w:r>
        <w:rPr>
          <w:rFonts w:hint="eastAsia" w:eastAsia="仿宋_GB2312"/>
          <w:sz w:val="32"/>
          <w:szCs w:val="32"/>
        </w:rPr>
        <w:t>：</w:t>
      </w:r>
      <w:r>
        <w:rPr>
          <w:rFonts w:hint="eastAsia" w:ascii="仿宋_GB2312" w:hAnsi="仿宋_GB2312" w:eastAsia="仿宋_GB2312" w:cs="仿宋_GB2312"/>
          <w:sz w:val="32"/>
          <w:szCs w:val="32"/>
        </w:rPr>
        <w:t>1.食品快速检测产品评价申请书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2.快检产品自评材料清单</w:t>
      </w:r>
    </w:p>
    <w:p>
      <w:pPr>
        <w:ind w:firstLine="560" w:firstLineChars="200"/>
        <w:jc w:val="left"/>
        <w:rPr>
          <w:rFonts w:ascii="仿宋_GB2312" w:hAnsi="仿宋_GB2312" w:eastAsia="仿宋_GB2312" w:cs="仿宋_GB2312"/>
          <w:sz w:val="28"/>
          <w:szCs w:val="28"/>
        </w:rPr>
        <w:sectPr>
          <w:headerReference r:id="rId5" w:type="first"/>
          <w:headerReference r:id="rId3" w:type="default"/>
          <w:footerReference r:id="rId6" w:type="default"/>
          <w:headerReference r:id="rId4" w:type="even"/>
          <w:footerReference r:id="rId7" w:type="even"/>
          <w:pgSz w:w="11906" w:h="16838"/>
          <w:pgMar w:top="1588" w:right="1474" w:bottom="1588" w:left="1474" w:header="851" w:footer="992" w:gutter="0"/>
          <w:pgNumType w:fmt="numberInDash"/>
          <w:cols w:space="720" w:num="1"/>
          <w:titlePg/>
          <w:docGrid w:type="linesAndChars" w:linePitch="312" w:charSpace="0"/>
        </w:sectPr>
      </w:pPr>
    </w:p>
    <w:p>
      <w:pPr>
        <w:jc w:val="left"/>
        <w:rPr>
          <w:rFonts w:ascii="黑体" w:hAnsi="黑体" w:eastAsia="黑体"/>
          <w:sz w:val="32"/>
          <w:szCs w:val="32"/>
        </w:rPr>
      </w:pPr>
      <w:r>
        <w:rPr>
          <w:rFonts w:hint="eastAsia" w:ascii="黑体" w:hAnsi="黑体" w:eastAsia="黑体"/>
          <w:sz w:val="32"/>
          <w:szCs w:val="32"/>
        </w:rPr>
        <w:t>附件之附件1</w:t>
      </w:r>
    </w:p>
    <w:p>
      <w:pPr>
        <w:snapToGrid w:val="0"/>
        <w:spacing w:line="600" w:lineRule="exact"/>
        <w:ind w:right="169"/>
        <w:jc w:val="center"/>
        <w:rPr>
          <w:rFonts w:hint="eastAsia" w:ascii="宋体" w:hAnsi="宋体" w:cs="宋体"/>
          <w:bCs/>
          <w:sz w:val="30"/>
          <w:szCs w:val="30"/>
        </w:rPr>
      </w:pPr>
      <w:r>
        <w:rPr>
          <w:rFonts w:hint="eastAsia" w:ascii="华文中宋" w:hAnsi="华文中宋" w:eastAsia="华文中宋"/>
          <w:b/>
          <w:sz w:val="44"/>
          <w:szCs w:val="44"/>
        </w:rPr>
        <w:t>食品快速检测产品评价申请书</w:t>
      </w:r>
    </w:p>
    <w:p>
      <w:pPr>
        <w:ind w:right="640"/>
        <w:jc w:val="left"/>
        <w:rPr>
          <w:rFonts w:hint="eastAsia" w:ascii="宋体" w:hAnsi="宋体" w:cs="宋体"/>
          <w:bCs/>
          <w:sz w:val="28"/>
          <w:szCs w:val="28"/>
        </w:rPr>
      </w:pPr>
      <w:r>
        <w:rPr>
          <w:rFonts w:hint="eastAsia" w:ascii="宋体" w:hAnsi="宋体" w:cs="宋体"/>
          <w:bCs/>
          <w:sz w:val="28"/>
          <w:szCs w:val="28"/>
        </w:rPr>
        <w:t>深圳市市场监督管理局：</w:t>
      </w:r>
    </w:p>
    <w:p>
      <w:pPr>
        <w:ind w:right="640"/>
        <w:jc w:val="left"/>
        <w:rPr>
          <w:rFonts w:hint="eastAsia" w:ascii="宋体" w:hAnsi="宋体" w:cs="宋体"/>
          <w:sz w:val="28"/>
          <w:szCs w:val="28"/>
        </w:rPr>
      </w:pPr>
      <w:r>
        <w:rPr>
          <w:rFonts w:hint="eastAsia" w:ascii="宋体" w:hAnsi="宋体" w:cs="宋体"/>
          <w:sz w:val="28"/>
          <w:szCs w:val="28"/>
        </w:rPr>
        <w:t xml:space="preserve">    为服务于深圳市“一街一车一室”等食品安全项目快速检测工作，经我方自评，对认为符合《深圳市市场监督管理局食品快速检测产品评价技术方案（修订）》要求的以下快检产品申请抽样评价。</w:t>
      </w:r>
    </w:p>
    <w:tbl>
      <w:tblPr>
        <w:tblStyle w:val="4"/>
        <w:tblW w:w="12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764"/>
        <w:gridCol w:w="1837"/>
        <w:gridCol w:w="1661"/>
        <w:gridCol w:w="1134"/>
        <w:gridCol w:w="1276"/>
        <w:gridCol w:w="1418"/>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516"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序号</w:t>
            </w:r>
          </w:p>
        </w:tc>
        <w:tc>
          <w:tcPr>
            <w:tcW w:w="1764"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快检参数</w:t>
            </w:r>
          </w:p>
        </w:tc>
        <w:tc>
          <w:tcPr>
            <w:tcW w:w="1837"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参评单位</w:t>
            </w:r>
          </w:p>
        </w:tc>
        <w:tc>
          <w:tcPr>
            <w:tcW w:w="1661"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产品名称</w:t>
            </w:r>
          </w:p>
        </w:tc>
        <w:tc>
          <w:tcPr>
            <w:tcW w:w="1134"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规格</w:t>
            </w:r>
          </w:p>
        </w:tc>
        <w:tc>
          <w:tcPr>
            <w:tcW w:w="1276"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方法原理</w:t>
            </w:r>
          </w:p>
        </w:tc>
        <w:tc>
          <w:tcPr>
            <w:tcW w:w="1418"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检出限</w:t>
            </w:r>
          </w:p>
        </w:tc>
        <w:tc>
          <w:tcPr>
            <w:tcW w:w="2126"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是否用于深圳食品安全筛查（使用单位）</w:t>
            </w:r>
          </w:p>
        </w:tc>
        <w:tc>
          <w:tcPr>
            <w:tcW w:w="1134"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5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示例</w:t>
            </w:r>
          </w:p>
        </w:tc>
        <w:tc>
          <w:tcPr>
            <w:tcW w:w="176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孔雀石绿（组织）</w:t>
            </w:r>
          </w:p>
        </w:tc>
        <w:tc>
          <w:tcPr>
            <w:tcW w:w="183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****公司</w:t>
            </w:r>
          </w:p>
        </w:tc>
        <w:tc>
          <w:tcPr>
            <w:tcW w:w="166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孔雀石绿（组织）快速检测卡</w:t>
            </w:r>
          </w:p>
        </w:tc>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10份/盒</w:t>
            </w:r>
          </w:p>
        </w:tc>
        <w:tc>
          <w:tcPr>
            <w:tcW w:w="127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胶体金法</w:t>
            </w:r>
          </w:p>
        </w:tc>
        <w:tc>
          <w:tcPr>
            <w:tcW w:w="1418" w:type="dxa"/>
            <w:noWrap w:val="0"/>
            <w:vAlign w:val="center"/>
          </w:tcPr>
          <w:p>
            <w:pPr>
              <w:widowControl/>
              <w:jc w:val="center"/>
              <w:rPr>
                <w:rFonts w:hint="eastAsia" w:ascii="宋体" w:hAnsi="宋体" w:cs="宋体"/>
                <w:b/>
                <w:kern w:val="0"/>
                <w:szCs w:val="21"/>
              </w:rPr>
            </w:pPr>
            <w:r>
              <w:rPr>
                <w:rFonts w:hint="eastAsia" w:ascii="宋体" w:hAnsi="宋体" w:cs="宋体"/>
                <w:kern w:val="0"/>
                <w:szCs w:val="21"/>
              </w:rPr>
              <w:t>2.0 μg/kg</w:t>
            </w:r>
          </w:p>
        </w:tc>
        <w:tc>
          <w:tcPr>
            <w:tcW w:w="2126" w:type="dxa"/>
            <w:noWrap w:val="0"/>
            <w:vAlign w:val="top"/>
          </w:tcPr>
          <w:p>
            <w:pPr>
              <w:widowControl/>
              <w:jc w:val="center"/>
              <w:rPr>
                <w:rFonts w:hint="eastAsia" w:ascii="宋体" w:hAnsi="宋体" w:cs="宋体"/>
                <w:kern w:val="0"/>
                <w:szCs w:val="21"/>
              </w:rPr>
            </w:pPr>
            <w:r>
              <w:rPr>
                <w:rFonts w:hint="eastAsia" w:ascii="宋体" w:hAnsi="宋体" w:cs="宋体"/>
                <w:kern w:val="0"/>
                <w:szCs w:val="21"/>
              </w:rPr>
              <w:t>是</w:t>
            </w:r>
          </w:p>
          <w:p>
            <w:pPr>
              <w:widowControl/>
              <w:jc w:val="center"/>
              <w:rPr>
                <w:rFonts w:hint="eastAsia" w:ascii="宋体" w:hAnsi="宋体" w:cs="宋体"/>
                <w:kern w:val="0"/>
                <w:szCs w:val="21"/>
              </w:rPr>
            </w:pPr>
            <w:r>
              <w:rPr>
                <w:rFonts w:hint="eastAsia" w:ascii="宋体" w:hAnsi="宋体" w:cs="宋体"/>
                <w:kern w:val="0"/>
                <w:szCs w:val="21"/>
              </w:rPr>
              <w:t>深圳**单位</w:t>
            </w:r>
          </w:p>
        </w:tc>
        <w:tc>
          <w:tcPr>
            <w:tcW w:w="1134" w:type="dxa"/>
            <w:noWrap w:val="0"/>
            <w:vAlign w:val="top"/>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64" w:type="dxa"/>
            <w:noWrap w:val="0"/>
            <w:vAlign w:val="center"/>
          </w:tcPr>
          <w:p>
            <w:pPr>
              <w:widowControl/>
              <w:jc w:val="center"/>
              <w:rPr>
                <w:rFonts w:hint="eastAsia" w:ascii="宋体" w:hAnsi="宋体" w:cs="宋体"/>
                <w:kern w:val="0"/>
                <w:szCs w:val="21"/>
              </w:rPr>
            </w:pPr>
          </w:p>
        </w:tc>
        <w:tc>
          <w:tcPr>
            <w:tcW w:w="183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66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top"/>
          </w:tcPr>
          <w:p>
            <w:pPr>
              <w:widowControl/>
              <w:jc w:val="center"/>
              <w:rPr>
                <w:rFonts w:hint="eastAsia" w:ascii="宋体" w:hAnsi="宋体" w:cs="宋体"/>
                <w:kern w:val="0"/>
                <w:szCs w:val="21"/>
              </w:rPr>
            </w:pPr>
          </w:p>
        </w:tc>
        <w:tc>
          <w:tcPr>
            <w:tcW w:w="141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126" w:type="dxa"/>
            <w:noWrap w:val="0"/>
            <w:vAlign w:val="top"/>
          </w:tcPr>
          <w:p>
            <w:pPr>
              <w:widowControl/>
              <w:jc w:val="center"/>
              <w:rPr>
                <w:rFonts w:hint="eastAsia" w:ascii="宋体" w:hAnsi="宋体" w:cs="宋体"/>
                <w:kern w:val="0"/>
                <w:szCs w:val="21"/>
              </w:rPr>
            </w:pPr>
          </w:p>
        </w:tc>
        <w:tc>
          <w:tcPr>
            <w:tcW w:w="1134" w:type="dxa"/>
            <w:noWrap w:val="0"/>
            <w:vAlign w:val="top"/>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hint="eastAsia" w:ascii="宋体" w:hAnsi="宋体" w:cs="宋体"/>
                <w:kern w:val="0"/>
                <w:szCs w:val="21"/>
              </w:rPr>
            </w:pPr>
          </w:p>
        </w:tc>
        <w:tc>
          <w:tcPr>
            <w:tcW w:w="1764" w:type="dxa"/>
            <w:noWrap w:val="0"/>
            <w:vAlign w:val="center"/>
          </w:tcPr>
          <w:p>
            <w:pPr>
              <w:widowControl/>
              <w:jc w:val="center"/>
              <w:rPr>
                <w:rFonts w:hint="eastAsia" w:ascii="宋体" w:hAnsi="宋体" w:cs="宋体"/>
                <w:kern w:val="0"/>
                <w:szCs w:val="21"/>
              </w:rPr>
            </w:pPr>
          </w:p>
        </w:tc>
        <w:tc>
          <w:tcPr>
            <w:tcW w:w="1837" w:type="dxa"/>
            <w:noWrap w:val="0"/>
            <w:vAlign w:val="center"/>
          </w:tcPr>
          <w:p>
            <w:pPr>
              <w:widowControl/>
              <w:jc w:val="center"/>
              <w:rPr>
                <w:rFonts w:hint="eastAsia" w:ascii="宋体" w:hAnsi="宋体" w:cs="宋体"/>
                <w:kern w:val="0"/>
                <w:szCs w:val="21"/>
              </w:rPr>
            </w:pPr>
          </w:p>
        </w:tc>
        <w:tc>
          <w:tcPr>
            <w:tcW w:w="1661" w:type="dxa"/>
            <w:noWrap w:val="0"/>
            <w:vAlign w:val="center"/>
          </w:tcPr>
          <w:p>
            <w:pPr>
              <w:widowControl/>
              <w:jc w:val="center"/>
              <w:rPr>
                <w:rFonts w:hint="eastAsia" w:ascii="宋体" w:hAnsi="宋体" w:cs="宋体"/>
                <w:kern w:val="0"/>
                <w:szCs w:val="21"/>
              </w:rPr>
            </w:pPr>
          </w:p>
        </w:tc>
        <w:tc>
          <w:tcPr>
            <w:tcW w:w="1134" w:type="dxa"/>
            <w:noWrap w:val="0"/>
            <w:vAlign w:val="center"/>
          </w:tcPr>
          <w:p>
            <w:pPr>
              <w:widowControl/>
              <w:jc w:val="center"/>
              <w:rPr>
                <w:rFonts w:hint="eastAsia" w:ascii="宋体" w:hAnsi="宋体" w:cs="宋体"/>
                <w:kern w:val="0"/>
                <w:szCs w:val="21"/>
              </w:rPr>
            </w:pPr>
          </w:p>
        </w:tc>
        <w:tc>
          <w:tcPr>
            <w:tcW w:w="1276" w:type="dxa"/>
            <w:noWrap w:val="0"/>
            <w:vAlign w:val="top"/>
          </w:tcPr>
          <w:p>
            <w:pPr>
              <w:widowControl/>
              <w:jc w:val="center"/>
              <w:rPr>
                <w:rFonts w:hint="eastAsia" w:ascii="宋体" w:hAnsi="宋体" w:cs="宋体"/>
                <w:kern w:val="0"/>
                <w:szCs w:val="21"/>
              </w:rPr>
            </w:pPr>
          </w:p>
        </w:tc>
        <w:tc>
          <w:tcPr>
            <w:tcW w:w="1418" w:type="dxa"/>
            <w:noWrap w:val="0"/>
            <w:vAlign w:val="center"/>
          </w:tcPr>
          <w:p>
            <w:pPr>
              <w:widowControl/>
              <w:jc w:val="center"/>
              <w:rPr>
                <w:rFonts w:hint="eastAsia" w:ascii="宋体" w:hAnsi="宋体" w:cs="宋体"/>
                <w:kern w:val="0"/>
                <w:szCs w:val="21"/>
              </w:rPr>
            </w:pPr>
          </w:p>
        </w:tc>
        <w:tc>
          <w:tcPr>
            <w:tcW w:w="2126" w:type="dxa"/>
            <w:noWrap w:val="0"/>
            <w:vAlign w:val="top"/>
          </w:tcPr>
          <w:p>
            <w:pPr>
              <w:widowControl/>
              <w:jc w:val="center"/>
              <w:rPr>
                <w:rFonts w:hint="eastAsia" w:ascii="宋体" w:hAnsi="宋体" w:cs="宋体"/>
                <w:kern w:val="0"/>
                <w:szCs w:val="21"/>
              </w:rPr>
            </w:pPr>
          </w:p>
        </w:tc>
        <w:tc>
          <w:tcPr>
            <w:tcW w:w="1134" w:type="dxa"/>
            <w:noWrap w:val="0"/>
            <w:vAlign w:val="top"/>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hint="eastAsia" w:ascii="宋体" w:hAnsi="宋体" w:cs="宋体"/>
                <w:kern w:val="0"/>
                <w:szCs w:val="21"/>
              </w:rPr>
            </w:pPr>
          </w:p>
        </w:tc>
        <w:tc>
          <w:tcPr>
            <w:tcW w:w="1764" w:type="dxa"/>
            <w:noWrap w:val="0"/>
            <w:vAlign w:val="center"/>
          </w:tcPr>
          <w:p>
            <w:pPr>
              <w:widowControl/>
              <w:jc w:val="center"/>
              <w:rPr>
                <w:rFonts w:hint="eastAsia" w:ascii="宋体" w:hAnsi="宋体" w:cs="宋体"/>
                <w:kern w:val="0"/>
                <w:szCs w:val="21"/>
              </w:rPr>
            </w:pPr>
          </w:p>
        </w:tc>
        <w:tc>
          <w:tcPr>
            <w:tcW w:w="1837" w:type="dxa"/>
            <w:noWrap w:val="0"/>
            <w:vAlign w:val="center"/>
          </w:tcPr>
          <w:p>
            <w:pPr>
              <w:widowControl/>
              <w:jc w:val="center"/>
              <w:rPr>
                <w:rFonts w:hint="eastAsia" w:ascii="宋体" w:hAnsi="宋体" w:cs="宋体"/>
                <w:kern w:val="0"/>
                <w:szCs w:val="21"/>
              </w:rPr>
            </w:pPr>
          </w:p>
        </w:tc>
        <w:tc>
          <w:tcPr>
            <w:tcW w:w="1661" w:type="dxa"/>
            <w:noWrap w:val="0"/>
            <w:vAlign w:val="center"/>
          </w:tcPr>
          <w:p>
            <w:pPr>
              <w:widowControl/>
              <w:jc w:val="center"/>
              <w:rPr>
                <w:rFonts w:hint="eastAsia" w:ascii="宋体" w:hAnsi="宋体" w:cs="宋体"/>
                <w:kern w:val="0"/>
                <w:szCs w:val="21"/>
              </w:rPr>
            </w:pPr>
          </w:p>
        </w:tc>
        <w:tc>
          <w:tcPr>
            <w:tcW w:w="1134" w:type="dxa"/>
            <w:noWrap w:val="0"/>
            <w:vAlign w:val="center"/>
          </w:tcPr>
          <w:p>
            <w:pPr>
              <w:widowControl/>
              <w:jc w:val="center"/>
              <w:rPr>
                <w:rFonts w:hint="eastAsia" w:ascii="宋体" w:hAnsi="宋体" w:cs="宋体"/>
                <w:kern w:val="0"/>
                <w:szCs w:val="21"/>
              </w:rPr>
            </w:pPr>
          </w:p>
        </w:tc>
        <w:tc>
          <w:tcPr>
            <w:tcW w:w="1276" w:type="dxa"/>
            <w:noWrap w:val="0"/>
            <w:vAlign w:val="top"/>
          </w:tcPr>
          <w:p>
            <w:pPr>
              <w:widowControl/>
              <w:jc w:val="center"/>
              <w:rPr>
                <w:rFonts w:hint="eastAsia" w:ascii="宋体" w:hAnsi="宋体" w:cs="宋体"/>
                <w:kern w:val="0"/>
                <w:szCs w:val="21"/>
              </w:rPr>
            </w:pPr>
          </w:p>
        </w:tc>
        <w:tc>
          <w:tcPr>
            <w:tcW w:w="1418" w:type="dxa"/>
            <w:noWrap w:val="0"/>
            <w:vAlign w:val="center"/>
          </w:tcPr>
          <w:p>
            <w:pPr>
              <w:widowControl/>
              <w:jc w:val="center"/>
              <w:rPr>
                <w:rFonts w:hint="eastAsia" w:ascii="宋体" w:hAnsi="宋体" w:cs="宋体"/>
                <w:kern w:val="0"/>
                <w:szCs w:val="21"/>
              </w:rPr>
            </w:pPr>
          </w:p>
        </w:tc>
        <w:tc>
          <w:tcPr>
            <w:tcW w:w="2126" w:type="dxa"/>
            <w:noWrap w:val="0"/>
            <w:vAlign w:val="top"/>
          </w:tcPr>
          <w:p>
            <w:pPr>
              <w:widowControl/>
              <w:jc w:val="center"/>
              <w:rPr>
                <w:rFonts w:hint="eastAsia" w:ascii="宋体" w:hAnsi="宋体" w:cs="宋体"/>
                <w:kern w:val="0"/>
                <w:szCs w:val="21"/>
              </w:rPr>
            </w:pPr>
          </w:p>
        </w:tc>
        <w:tc>
          <w:tcPr>
            <w:tcW w:w="1134" w:type="dxa"/>
            <w:noWrap w:val="0"/>
            <w:vAlign w:val="top"/>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hint="eastAsia" w:ascii="宋体" w:hAnsi="宋体" w:cs="宋体"/>
                <w:kern w:val="0"/>
                <w:szCs w:val="21"/>
              </w:rPr>
            </w:pPr>
          </w:p>
        </w:tc>
        <w:tc>
          <w:tcPr>
            <w:tcW w:w="1764" w:type="dxa"/>
            <w:noWrap w:val="0"/>
            <w:vAlign w:val="center"/>
          </w:tcPr>
          <w:p>
            <w:pPr>
              <w:widowControl/>
              <w:jc w:val="center"/>
              <w:rPr>
                <w:rFonts w:hint="eastAsia" w:ascii="宋体" w:hAnsi="宋体" w:cs="宋体"/>
                <w:kern w:val="0"/>
                <w:szCs w:val="21"/>
              </w:rPr>
            </w:pPr>
          </w:p>
        </w:tc>
        <w:tc>
          <w:tcPr>
            <w:tcW w:w="1837" w:type="dxa"/>
            <w:noWrap w:val="0"/>
            <w:vAlign w:val="center"/>
          </w:tcPr>
          <w:p>
            <w:pPr>
              <w:widowControl/>
              <w:jc w:val="center"/>
              <w:rPr>
                <w:rFonts w:hint="eastAsia" w:ascii="宋体" w:hAnsi="宋体" w:cs="宋体"/>
                <w:kern w:val="0"/>
                <w:szCs w:val="21"/>
              </w:rPr>
            </w:pPr>
          </w:p>
        </w:tc>
        <w:tc>
          <w:tcPr>
            <w:tcW w:w="1661" w:type="dxa"/>
            <w:noWrap w:val="0"/>
            <w:vAlign w:val="center"/>
          </w:tcPr>
          <w:p>
            <w:pPr>
              <w:widowControl/>
              <w:jc w:val="center"/>
              <w:rPr>
                <w:rFonts w:hint="eastAsia" w:ascii="宋体" w:hAnsi="宋体" w:cs="宋体"/>
                <w:kern w:val="0"/>
                <w:szCs w:val="21"/>
              </w:rPr>
            </w:pPr>
          </w:p>
        </w:tc>
        <w:tc>
          <w:tcPr>
            <w:tcW w:w="1134" w:type="dxa"/>
            <w:noWrap w:val="0"/>
            <w:vAlign w:val="center"/>
          </w:tcPr>
          <w:p>
            <w:pPr>
              <w:widowControl/>
              <w:jc w:val="center"/>
              <w:rPr>
                <w:rFonts w:hint="eastAsia" w:ascii="宋体" w:hAnsi="宋体" w:cs="宋体"/>
                <w:kern w:val="0"/>
                <w:szCs w:val="21"/>
              </w:rPr>
            </w:pPr>
          </w:p>
        </w:tc>
        <w:tc>
          <w:tcPr>
            <w:tcW w:w="1276" w:type="dxa"/>
            <w:noWrap w:val="0"/>
            <w:vAlign w:val="top"/>
          </w:tcPr>
          <w:p>
            <w:pPr>
              <w:widowControl/>
              <w:jc w:val="center"/>
              <w:rPr>
                <w:rFonts w:hint="eastAsia" w:ascii="宋体" w:hAnsi="宋体" w:cs="宋体"/>
                <w:kern w:val="0"/>
                <w:szCs w:val="21"/>
              </w:rPr>
            </w:pPr>
          </w:p>
        </w:tc>
        <w:tc>
          <w:tcPr>
            <w:tcW w:w="1418" w:type="dxa"/>
            <w:noWrap w:val="0"/>
            <w:vAlign w:val="center"/>
          </w:tcPr>
          <w:p>
            <w:pPr>
              <w:widowControl/>
              <w:jc w:val="center"/>
              <w:rPr>
                <w:rFonts w:hint="eastAsia" w:ascii="宋体" w:hAnsi="宋体" w:cs="宋体"/>
                <w:kern w:val="0"/>
                <w:szCs w:val="21"/>
              </w:rPr>
            </w:pPr>
          </w:p>
        </w:tc>
        <w:tc>
          <w:tcPr>
            <w:tcW w:w="2126" w:type="dxa"/>
            <w:noWrap w:val="0"/>
            <w:vAlign w:val="top"/>
          </w:tcPr>
          <w:p>
            <w:pPr>
              <w:widowControl/>
              <w:jc w:val="center"/>
              <w:rPr>
                <w:rFonts w:hint="eastAsia" w:ascii="宋体" w:hAnsi="宋体" w:cs="宋体"/>
                <w:kern w:val="0"/>
                <w:szCs w:val="21"/>
              </w:rPr>
            </w:pPr>
          </w:p>
        </w:tc>
        <w:tc>
          <w:tcPr>
            <w:tcW w:w="1134" w:type="dxa"/>
            <w:noWrap w:val="0"/>
            <w:vAlign w:val="top"/>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hint="eastAsia" w:ascii="宋体" w:hAnsi="宋体" w:cs="宋体"/>
                <w:kern w:val="0"/>
                <w:szCs w:val="21"/>
              </w:rPr>
            </w:pPr>
          </w:p>
        </w:tc>
        <w:tc>
          <w:tcPr>
            <w:tcW w:w="1764" w:type="dxa"/>
            <w:noWrap w:val="0"/>
            <w:vAlign w:val="center"/>
          </w:tcPr>
          <w:p>
            <w:pPr>
              <w:widowControl/>
              <w:jc w:val="center"/>
              <w:rPr>
                <w:rFonts w:hint="eastAsia" w:ascii="宋体" w:hAnsi="宋体" w:cs="宋体"/>
                <w:kern w:val="0"/>
                <w:szCs w:val="21"/>
              </w:rPr>
            </w:pPr>
          </w:p>
        </w:tc>
        <w:tc>
          <w:tcPr>
            <w:tcW w:w="1837" w:type="dxa"/>
            <w:noWrap w:val="0"/>
            <w:vAlign w:val="center"/>
          </w:tcPr>
          <w:p>
            <w:pPr>
              <w:widowControl/>
              <w:jc w:val="center"/>
              <w:rPr>
                <w:rFonts w:hint="eastAsia" w:ascii="宋体" w:hAnsi="宋体" w:cs="宋体"/>
                <w:kern w:val="0"/>
                <w:szCs w:val="21"/>
              </w:rPr>
            </w:pPr>
          </w:p>
        </w:tc>
        <w:tc>
          <w:tcPr>
            <w:tcW w:w="1661" w:type="dxa"/>
            <w:noWrap w:val="0"/>
            <w:vAlign w:val="center"/>
          </w:tcPr>
          <w:p>
            <w:pPr>
              <w:widowControl/>
              <w:jc w:val="center"/>
              <w:rPr>
                <w:rFonts w:hint="eastAsia" w:ascii="宋体" w:hAnsi="宋体" w:cs="宋体"/>
                <w:kern w:val="0"/>
                <w:szCs w:val="21"/>
              </w:rPr>
            </w:pPr>
          </w:p>
        </w:tc>
        <w:tc>
          <w:tcPr>
            <w:tcW w:w="1134" w:type="dxa"/>
            <w:noWrap w:val="0"/>
            <w:vAlign w:val="center"/>
          </w:tcPr>
          <w:p>
            <w:pPr>
              <w:widowControl/>
              <w:jc w:val="center"/>
              <w:rPr>
                <w:rFonts w:hint="eastAsia" w:ascii="宋体" w:hAnsi="宋体" w:cs="宋体"/>
                <w:kern w:val="0"/>
                <w:szCs w:val="21"/>
              </w:rPr>
            </w:pPr>
          </w:p>
        </w:tc>
        <w:tc>
          <w:tcPr>
            <w:tcW w:w="1276" w:type="dxa"/>
            <w:noWrap w:val="0"/>
            <w:vAlign w:val="top"/>
          </w:tcPr>
          <w:p>
            <w:pPr>
              <w:widowControl/>
              <w:jc w:val="center"/>
              <w:rPr>
                <w:rFonts w:hint="eastAsia" w:ascii="宋体" w:hAnsi="宋体" w:cs="宋体"/>
                <w:kern w:val="0"/>
                <w:szCs w:val="21"/>
              </w:rPr>
            </w:pPr>
          </w:p>
        </w:tc>
        <w:tc>
          <w:tcPr>
            <w:tcW w:w="1418" w:type="dxa"/>
            <w:noWrap w:val="0"/>
            <w:vAlign w:val="center"/>
          </w:tcPr>
          <w:p>
            <w:pPr>
              <w:widowControl/>
              <w:jc w:val="center"/>
              <w:rPr>
                <w:rFonts w:hint="eastAsia" w:ascii="宋体" w:hAnsi="宋体" w:cs="宋体"/>
                <w:kern w:val="0"/>
                <w:szCs w:val="21"/>
              </w:rPr>
            </w:pPr>
          </w:p>
        </w:tc>
        <w:tc>
          <w:tcPr>
            <w:tcW w:w="2126" w:type="dxa"/>
            <w:noWrap w:val="0"/>
            <w:vAlign w:val="top"/>
          </w:tcPr>
          <w:p>
            <w:pPr>
              <w:widowControl/>
              <w:jc w:val="center"/>
              <w:rPr>
                <w:rFonts w:hint="eastAsia" w:ascii="宋体" w:hAnsi="宋体" w:cs="宋体"/>
                <w:kern w:val="0"/>
                <w:szCs w:val="21"/>
              </w:rPr>
            </w:pPr>
          </w:p>
        </w:tc>
        <w:tc>
          <w:tcPr>
            <w:tcW w:w="1134" w:type="dxa"/>
            <w:noWrap w:val="0"/>
            <w:vAlign w:val="top"/>
          </w:tcPr>
          <w:p>
            <w:pPr>
              <w:widowControl/>
              <w:jc w:val="center"/>
              <w:rPr>
                <w:rFonts w:hint="eastAsia" w:ascii="宋体" w:hAnsi="宋体" w:cs="宋体"/>
                <w:kern w:val="0"/>
                <w:szCs w:val="21"/>
              </w:rPr>
            </w:pPr>
          </w:p>
        </w:tc>
      </w:tr>
    </w:tbl>
    <w:p>
      <w:pPr>
        <w:ind w:right="1620"/>
        <w:jc w:val="left"/>
        <w:rPr>
          <w:rFonts w:hint="eastAsia" w:ascii="宋体" w:hAnsi="宋体" w:cs="宋体"/>
          <w:color w:val="000000"/>
          <w:sz w:val="28"/>
          <w:szCs w:val="28"/>
          <w:u w:val="single"/>
        </w:rPr>
      </w:pPr>
      <w:r>
        <w:rPr>
          <w:rFonts w:hint="eastAsia" w:ascii="宋体" w:hAnsi="宋体" w:cs="宋体"/>
          <w:color w:val="000000"/>
          <w:sz w:val="28"/>
          <w:szCs w:val="28"/>
        </w:rPr>
        <w:t>联系人：</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联系电话：</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联系地址： </w:t>
      </w:r>
      <w:r>
        <w:rPr>
          <w:rFonts w:hint="eastAsia" w:ascii="宋体" w:hAnsi="宋体" w:cs="宋体"/>
          <w:color w:val="000000"/>
          <w:sz w:val="28"/>
          <w:szCs w:val="28"/>
          <w:u w:val="single"/>
        </w:rPr>
        <w:t xml:space="preserve">                    </w:t>
      </w:r>
    </w:p>
    <w:p>
      <w:pPr>
        <w:ind w:right="1620" w:firstLine="140" w:firstLineChars="50"/>
        <w:jc w:val="right"/>
        <w:rPr>
          <w:rFonts w:hint="eastAsia" w:ascii="宋体" w:hAnsi="宋体" w:cs="宋体"/>
          <w:color w:val="000000"/>
          <w:sz w:val="28"/>
          <w:szCs w:val="28"/>
        </w:rPr>
      </w:pPr>
      <w:r>
        <w:rPr>
          <w:rFonts w:hint="eastAsia" w:ascii="宋体" w:hAnsi="宋体" w:cs="宋体"/>
          <w:color w:val="000000"/>
          <w:sz w:val="28"/>
          <w:szCs w:val="28"/>
        </w:rPr>
        <w:t>申请单位（盖章）：</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p>
    <w:p>
      <w:pPr>
        <w:wordWrap w:val="0"/>
        <w:ind w:right="1940" w:firstLine="140" w:firstLineChars="50"/>
        <w:jc w:val="right"/>
        <w:rPr>
          <w:rFonts w:hint="eastAsia" w:ascii="宋体" w:hAnsi="宋体" w:cs="宋体"/>
          <w:color w:val="000000"/>
          <w:sz w:val="28"/>
          <w:szCs w:val="28"/>
        </w:rPr>
      </w:pPr>
      <w:r>
        <w:rPr>
          <w:rFonts w:hint="eastAsia" w:ascii="宋体" w:hAnsi="宋体" w:cs="宋体"/>
          <w:color w:val="000000"/>
          <w:sz w:val="28"/>
          <w:szCs w:val="28"/>
        </w:rPr>
        <w:t>年   月   日</w:t>
      </w:r>
    </w:p>
    <w:p>
      <w:pPr>
        <w:ind w:right="1200"/>
        <w:jc w:val="center"/>
        <w:rPr>
          <w:rFonts w:hint="eastAsia" w:ascii="宋体" w:hAnsi="宋体" w:cs="宋体"/>
          <w:color w:val="000000"/>
          <w:sz w:val="28"/>
          <w:szCs w:val="28"/>
        </w:rPr>
        <w:sectPr>
          <w:pgSz w:w="16838" w:h="11906" w:orient="landscape"/>
          <w:pgMar w:top="1474" w:right="1588" w:bottom="1474" w:left="1588" w:header="851" w:footer="992" w:gutter="0"/>
          <w:pgNumType w:fmt="numberInDash"/>
          <w:cols w:space="720" w:num="1"/>
          <w:titlePg/>
          <w:docGrid w:type="linesAndChars" w:linePitch="312" w:charSpace="0"/>
        </w:sectPr>
      </w:pPr>
    </w:p>
    <w:p>
      <w:pPr>
        <w:jc w:val="left"/>
        <w:rPr>
          <w:rFonts w:ascii="黑体" w:hAnsi="黑体" w:eastAsia="黑体"/>
          <w:sz w:val="32"/>
          <w:szCs w:val="32"/>
        </w:rPr>
      </w:pPr>
      <w:r>
        <w:rPr>
          <w:rFonts w:hint="eastAsia" w:ascii="黑体" w:hAnsi="黑体" w:eastAsia="黑体"/>
          <w:sz w:val="32"/>
          <w:szCs w:val="32"/>
        </w:rPr>
        <w:t>附件之附件2</w:t>
      </w:r>
    </w:p>
    <w:p>
      <w:pPr>
        <w:snapToGrid w:val="0"/>
        <w:spacing w:line="600" w:lineRule="exact"/>
        <w:ind w:right="169"/>
        <w:jc w:val="center"/>
        <w:rPr>
          <w:rFonts w:hint="eastAsia" w:ascii="华文中宋" w:hAnsi="华文中宋" w:eastAsia="华文中宋"/>
          <w:b/>
          <w:sz w:val="44"/>
          <w:szCs w:val="44"/>
        </w:rPr>
      </w:pPr>
      <w:r>
        <w:rPr>
          <w:rFonts w:hint="eastAsia" w:ascii="华文中宋" w:hAnsi="华文中宋" w:eastAsia="华文中宋"/>
          <w:b/>
          <w:sz w:val="44"/>
          <w:szCs w:val="44"/>
        </w:rPr>
        <w:t>快检产品自评材料清单</w:t>
      </w:r>
    </w:p>
    <w:tbl>
      <w:tblPr>
        <w:tblStyle w:val="4"/>
        <w:tblW w:w="8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681"/>
        <w:gridCol w:w="1505"/>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017"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序号</w:t>
            </w:r>
          </w:p>
        </w:tc>
        <w:tc>
          <w:tcPr>
            <w:tcW w:w="1505"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材料清单</w:t>
            </w:r>
          </w:p>
        </w:tc>
        <w:tc>
          <w:tcPr>
            <w:tcW w:w="5563"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1</w:t>
            </w:r>
          </w:p>
        </w:tc>
        <w:tc>
          <w:tcPr>
            <w:tcW w:w="1505" w:type="dxa"/>
            <w:noWrap w:val="0"/>
            <w:vAlign w:val="center"/>
          </w:tcPr>
          <w:p>
            <w:pPr>
              <w:jc w:val="left"/>
              <w:rPr>
                <w:rFonts w:hint="eastAsia" w:ascii="宋体" w:hAnsi="宋体" w:cs="宋体"/>
                <w:color w:val="000000"/>
                <w:szCs w:val="21"/>
              </w:rPr>
            </w:pPr>
            <w:r>
              <w:rPr>
                <w:rFonts w:hint="eastAsia" w:ascii="宋体" w:hAnsi="宋体" w:cs="宋体"/>
                <w:szCs w:val="21"/>
              </w:rPr>
              <w:t>快检产品信息表</w:t>
            </w:r>
          </w:p>
        </w:tc>
        <w:tc>
          <w:tcPr>
            <w:tcW w:w="5563" w:type="dxa"/>
            <w:noWrap w:val="0"/>
            <w:vAlign w:val="center"/>
          </w:tcPr>
          <w:p>
            <w:pPr>
              <w:jc w:val="left"/>
              <w:rPr>
                <w:rFonts w:hint="eastAsia" w:ascii="宋体" w:hAnsi="宋体" w:cs="宋体"/>
                <w:color w:val="000000"/>
                <w:szCs w:val="21"/>
              </w:rPr>
            </w:pPr>
            <w:r>
              <w:rPr>
                <w:rFonts w:hint="eastAsia" w:ascii="宋体" w:hAnsi="宋体" w:cs="宋体"/>
                <w:szCs w:val="21"/>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36"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2</w:t>
            </w:r>
          </w:p>
        </w:tc>
        <w:tc>
          <w:tcPr>
            <w:tcW w:w="681"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自评材料</w:t>
            </w:r>
          </w:p>
        </w:tc>
        <w:tc>
          <w:tcPr>
            <w:tcW w:w="1505" w:type="dxa"/>
            <w:noWrap w:val="0"/>
            <w:vAlign w:val="center"/>
          </w:tcPr>
          <w:p>
            <w:pPr>
              <w:jc w:val="left"/>
              <w:rPr>
                <w:rFonts w:hint="eastAsia" w:ascii="宋体" w:hAnsi="宋体" w:cs="宋体"/>
                <w:szCs w:val="21"/>
              </w:rPr>
            </w:pPr>
            <w:r>
              <w:rPr>
                <w:rFonts w:hint="eastAsia" w:ascii="宋体" w:hAnsi="宋体" w:cs="宋体"/>
                <w:szCs w:val="21"/>
              </w:rPr>
              <w:t>盲样的制备和领用记录</w:t>
            </w:r>
          </w:p>
        </w:tc>
        <w:tc>
          <w:tcPr>
            <w:tcW w:w="5563" w:type="dxa"/>
            <w:noWrap w:val="0"/>
            <w:vAlign w:val="center"/>
          </w:tcPr>
          <w:p>
            <w:pPr>
              <w:jc w:val="left"/>
              <w:rPr>
                <w:rFonts w:hint="eastAsia" w:ascii="宋体" w:hAnsi="宋体" w:cs="宋体"/>
                <w:szCs w:val="21"/>
              </w:rPr>
            </w:pPr>
            <w:r>
              <w:rPr>
                <w:rFonts w:hint="eastAsia" w:ascii="宋体" w:hAnsi="宋体" w:cs="宋体"/>
                <w:szCs w:val="21"/>
              </w:rPr>
              <w:t>包含盲样的编号、制备人、加标浓度、制备日期等。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hint="eastAsia" w:ascii="宋体" w:hAnsi="宋体" w:cs="宋体"/>
                <w:color w:val="000000"/>
                <w:szCs w:val="21"/>
              </w:rPr>
            </w:pPr>
          </w:p>
        </w:tc>
        <w:tc>
          <w:tcPr>
            <w:tcW w:w="681" w:type="dxa"/>
            <w:vMerge w:val="continue"/>
            <w:noWrap w:val="0"/>
            <w:vAlign w:val="center"/>
          </w:tcPr>
          <w:p>
            <w:pPr>
              <w:rPr>
                <w:rFonts w:hint="eastAsia" w:ascii="宋体" w:hAnsi="宋体" w:cs="宋体"/>
                <w:color w:val="000000"/>
                <w:szCs w:val="21"/>
              </w:rPr>
            </w:pPr>
          </w:p>
        </w:tc>
        <w:tc>
          <w:tcPr>
            <w:tcW w:w="1505" w:type="dxa"/>
            <w:noWrap w:val="0"/>
            <w:vAlign w:val="center"/>
          </w:tcPr>
          <w:p>
            <w:pPr>
              <w:jc w:val="left"/>
              <w:rPr>
                <w:rFonts w:hint="eastAsia" w:ascii="宋体" w:hAnsi="宋体" w:cs="宋体"/>
                <w:szCs w:val="21"/>
              </w:rPr>
            </w:pPr>
            <w:r>
              <w:rPr>
                <w:rFonts w:hint="eastAsia" w:ascii="宋体" w:hAnsi="宋体" w:cs="宋体"/>
                <w:szCs w:val="21"/>
              </w:rPr>
              <w:t>一般性指标评价原始记录</w:t>
            </w:r>
          </w:p>
        </w:tc>
        <w:tc>
          <w:tcPr>
            <w:tcW w:w="5563" w:type="dxa"/>
            <w:noWrap w:val="0"/>
            <w:vAlign w:val="center"/>
          </w:tcPr>
          <w:p>
            <w:pPr>
              <w:jc w:val="left"/>
              <w:rPr>
                <w:rFonts w:hint="eastAsia" w:ascii="宋体" w:hAnsi="宋体" w:cs="宋体"/>
                <w:szCs w:val="21"/>
              </w:rPr>
            </w:pPr>
            <w:r>
              <w:rPr>
                <w:rFonts w:hint="eastAsia" w:ascii="宋体" w:hAnsi="宋体" w:cs="宋体"/>
                <w:szCs w:val="21"/>
              </w:rPr>
              <w:t>包含对产品包装、中文标签、使用说明书、特异性*、质量合格证书、注意事项和安全性说明的审核记录。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hint="eastAsia" w:ascii="宋体" w:hAnsi="宋体" w:cs="宋体"/>
                <w:color w:val="000000"/>
                <w:szCs w:val="21"/>
              </w:rPr>
            </w:pPr>
          </w:p>
        </w:tc>
        <w:tc>
          <w:tcPr>
            <w:tcW w:w="681" w:type="dxa"/>
            <w:vMerge w:val="continue"/>
            <w:noWrap w:val="0"/>
            <w:vAlign w:val="center"/>
          </w:tcPr>
          <w:p>
            <w:pPr>
              <w:rPr>
                <w:rFonts w:hint="eastAsia" w:ascii="宋体" w:hAnsi="宋体" w:cs="宋体"/>
                <w:color w:val="000000"/>
                <w:szCs w:val="21"/>
              </w:rPr>
            </w:pPr>
          </w:p>
        </w:tc>
        <w:tc>
          <w:tcPr>
            <w:tcW w:w="1505" w:type="dxa"/>
            <w:noWrap w:val="0"/>
            <w:vAlign w:val="center"/>
          </w:tcPr>
          <w:p>
            <w:pPr>
              <w:jc w:val="left"/>
              <w:rPr>
                <w:rFonts w:hint="eastAsia" w:ascii="宋体" w:hAnsi="宋体" w:cs="宋体"/>
                <w:szCs w:val="21"/>
              </w:rPr>
            </w:pPr>
            <w:r>
              <w:rPr>
                <w:rFonts w:hint="eastAsia" w:ascii="宋体" w:hAnsi="宋体" w:cs="宋体"/>
                <w:szCs w:val="21"/>
              </w:rPr>
              <w:t>技术性评价指标的原始记录</w:t>
            </w:r>
          </w:p>
        </w:tc>
        <w:tc>
          <w:tcPr>
            <w:tcW w:w="5563" w:type="dxa"/>
            <w:noWrap w:val="0"/>
            <w:vAlign w:val="center"/>
          </w:tcPr>
          <w:p>
            <w:pPr>
              <w:jc w:val="left"/>
              <w:rPr>
                <w:rFonts w:hint="eastAsia" w:ascii="宋体" w:hAnsi="宋体" w:cs="宋体"/>
                <w:szCs w:val="21"/>
              </w:rPr>
            </w:pPr>
            <w:r>
              <w:rPr>
                <w:rFonts w:hint="eastAsia" w:ascii="宋体" w:hAnsi="宋体" w:cs="宋体"/>
                <w:szCs w:val="21"/>
              </w:rPr>
              <w:t>包含盲样编号，检测结果，检测人，评价人，技术依据，检出限要求、假阳性率和假阴性率，检测时间。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hint="eastAsia" w:ascii="宋体" w:hAnsi="宋体" w:cs="宋体"/>
                <w:color w:val="000000"/>
                <w:szCs w:val="21"/>
              </w:rPr>
            </w:pPr>
          </w:p>
        </w:tc>
        <w:tc>
          <w:tcPr>
            <w:tcW w:w="681" w:type="dxa"/>
            <w:vMerge w:val="continue"/>
            <w:noWrap w:val="0"/>
            <w:vAlign w:val="center"/>
          </w:tcPr>
          <w:p>
            <w:pPr>
              <w:rPr>
                <w:rFonts w:hint="eastAsia" w:ascii="宋体" w:hAnsi="宋体" w:cs="宋体"/>
                <w:color w:val="000000"/>
                <w:szCs w:val="21"/>
              </w:rPr>
            </w:pPr>
          </w:p>
        </w:tc>
        <w:tc>
          <w:tcPr>
            <w:tcW w:w="1505" w:type="dxa"/>
            <w:noWrap w:val="0"/>
            <w:vAlign w:val="center"/>
          </w:tcPr>
          <w:p>
            <w:pPr>
              <w:jc w:val="left"/>
              <w:rPr>
                <w:rFonts w:hint="eastAsia" w:ascii="宋体" w:hAnsi="宋体" w:cs="宋体"/>
                <w:szCs w:val="21"/>
              </w:rPr>
            </w:pPr>
            <w:r>
              <w:rPr>
                <w:rFonts w:hint="eastAsia" w:ascii="宋体" w:hAnsi="宋体" w:cs="宋体"/>
                <w:szCs w:val="21"/>
              </w:rPr>
              <w:t>评价实验读取数据的图像保存记录</w:t>
            </w:r>
          </w:p>
        </w:tc>
        <w:tc>
          <w:tcPr>
            <w:tcW w:w="5563" w:type="dxa"/>
            <w:noWrap w:val="0"/>
            <w:vAlign w:val="center"/>
          </w:tcPr>
          <w:p>
            <w:pPr>
              <w:jc w:val="left"/>
              <w:rPr>
                <w:rFonts w:hint="eastAsia" w:ascii="宋体" w:hAnsi="宋体" w:cs="宋体"/>
                <w:szCs w:val="21"/>
              </w:rPr>
            </w:pPr>
            <w:r>
              <w:rPr>
                <w:rFonts w:hint="eastAsia" w:ascii="宋体" w:hAnsi="宋体" w:cs="宋体"/>
                <w:szCs w:val="21"/>
              </w:rPr>
              <w:t>对检测结果的检测卡片进行拍照存档。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hint="eastAsia" w:ascii="宋体" w:hAnsi="宋体" w:cs="宋体"/>
                <w:color w:val="000000"/>
                <w:szCs w:val="21"/>
              </w:rPr>
            </w:pPr>
          </w:p>
        </w:tc>
        <w:tc>
          <w:tcPr>
            <w:tcW w:w="681" w:type="dxa"/>
            <w:vMerge w:val="continue"/>
            <w:noWrap w:val="0"/>
            <w:vAlign w:val="center"/>
          </w:tcPr>
          <w:p>
            <w:pPr>
              <w:rPr>
                <w:rFonts w:hint="eastAsia" w:ascii="宋体" w:hAnsi="宋体" w:cs="宋体"/>
                <w:color w:val="000000"/>
                <w:szCs w:val="21"/>
              </w:rPr>
            </w:pPr>
          </w:p>
        </w:tc>
        <w:tc>
          <w:tcPr>
            <w:tcW w:w="1505" w:type="dxa"/>
            <w:noWrap w:val="0"/>
            <w:vAlign w:val="center"/>
          </w:tcPr>
          <w:p>
            <w:pPr>
              <w:jc w:val="left"/>
              <w:rPr>
                <w:rFonts w:hint="eastAsia" w:ascii="宋体" w:hAnsi="宋体" w:cs="宋体"/>
                <w:szCs w:val="21"/>
              </w:rPr>
            </w:pPr>
            <w:r>
              <w:rPr>
                <w:rFonts w:hint="eastAsia" w:ascii="宋体" w:hAnsi="宋体" w:cs="宋体"/>
                <w:szCs w:val="21"/>
              </w:rPr>
              <w:t>评价结果报告单</w:t>
            </w:r>
          </w:p>
        </w:tc>
        <w:tc>
          <w:tcPr>
            <w:tcW w:w="5563" w:type="dxa"/>
            <w:noWrap w:val="0"/>
            <w:vAlign w:val="center"/>
          </w:tcPr>
          <w:p>
            <w:pPr>
              <w:jc w:val="left"/>
              <w:rPr>
                <w:rFonts w:hint="eastAsia" w:ascii="宋体" w:hAnsi="宋体" w:cs="宋体"/>
                <w:szCs w:val="21"/>
              </w:rPr>
            </w:pPr>
            <w:r>
              <w:rPr>
                <w:rFonts w:hint="eastAsia" w:ascii="宋体" w:hAnsi="宋体" w:cs="宋体"/>
                <w:szCs w:val="21"/>
              </w:rPr>
              <w:t>包含产品具体信息、评价依据、盲样组成、一般性指标的审核结果、技术指标的检测结果。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3</w:t>
            </w:r>
          </w:p>
        </w:tc>
        <w:tc>
          <w:tcPr>
            <w:tcW w:w="1505" w:type="dxa"/>
            <w:noWrap w:val="0"/>
            <w:vAlign w:val="center"/>
          </w:tcPr>
          <w:p>
            <w:pPr>
              <w:jc w:val="left"/>
              <w:rPr>
                <w:rFonts w:hint="eastAsia" w:ascii="宋体" w:hAnsi="宋体" w:cs="宋体"/>
                <w:szCs w:val="21"/>
              </w:rPr>
            </w:pPr>
            <w:r>
              <w:rPr>
                <w:rFonts w:hint="eastAsia" w:ascii="宋体" w:hAnsi="宋体" w:cs="宋体"/>
                <w:szCs w:val="21"/>
              </w:rPr>
              <w:t>应用证明</w:t>
            </w:r>
          </w:p>
        </w:tc>
        <w:tc>
          <w:tcPr>
            <w:tcW w:w="5563" w:type="dxa"/>
            <w:noWrap w:val="0"/>
            <w:vAlign w:val="center"/>
          </w:tcPr>
          <w:p>
            <w:pPr>
              <w:jc w:val="left"/>
              <w:rPr>
                <w:rFonts w:hint="eastAsia" w:ascii="宋体" w:hAnsi="宋体" w:cs="宋体"/>
                <w:szCs w:val="21"/>
              </w:rPr>
            </w:pPr>
            <w:r>
              <w:rPr>
                <w:rFonts w:hint="eastAsia" w:ascii="宋体" w:hAnsi="宋体" w:cs="宋体"/>
                <w:szCs w:val="21"/>
              </w:rPr>
              <w:t>与使用方签订的合同、销售发票以及使用单位证明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hint="eastAsia" w:ascii="宋体" w:hAnsi="宋体" w:cs="宋体"/>
                <w:szCs w:val="21"/>
              </w:rPr>
            </w:pPr>
            <w:r>
              <w:rPr>
                <w:rFonts w:hint="eastAsia" w:ascii="宋体" w:hAnsi="宋体" w:cs="宋体"/>
                <w:color w:val="000000"/>
                <w:szCs w:val="21"/>
              </w:rPr>
              <w:t>4</w:t>
            </w:r>
          </w:p>
        </w:tc>
        <w:tc>
          <w:tcPr>
            <w:tcW w:w="1505" w:type="dxa"/>
            <w:noWrap w:val="0"/>
            <w:vAlign w:val="center"/>
          </w:tcPr>
          <w:p>
            <w:pPr>
              <w:jc w:val="left"/>
              <w:rPr>
                <w:rFonts w:hint="eastAsia" w:ascii="宋体" w:hAnsi="宋体" w:cs="宋体"/>
                <w:szCs w:val="21"/>
              </w:rPr>
            </w:pPr>
            <w:r>
              <w:rPr>
                <w:rFonts w:hint="eastAsia" w:ascii="宋体" w:hAnsi="宋体" w:cs="宋体"/>
                <w:szCs w:val="21"/>
              </w:rPr>
              <w:t>仪器的计量证明材料</w:t>
            </w:r>
          </w:p>
        </w:tc>
        <w:tc>
          <w:tcPr>
            <w:tcW w:w="5563" w:type="dxa"/>
            <w:noWrap w:val="0"/>
            <w:vAlign w:val="center"/>
          </w:tcPr>
          <w:p>
            <w:pPr>
              <w:jc w:val="left"/>
              <w:rPr>
                <w:rFonts w:hint="eastAsia" w:ascii="宋体" w:hAnsi="宋体" w:cs="宋体"/>
                <w:szCs w:val="21"/>
              </w:rPr>
            </w:pPr>
            <w:r>
              <w:rPr>
                <w:rFonts w:hint="eastAsia" w:ascii="宋体" w:hAnsi="宋体" w:cs="宋体"/>
                <w:szCs w:val="21"/>
              </w:rPr>
              <w:t>快检仪器，其重要参数，应提供具有计量资质机构的校准或检定证明。例如，农药残留快速检测盒（酶抑制率法）需提供分光光度计的校准或检定证明。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hint="eastAsia" w:ascii="宋体" w:hAnsi="宋体" w:cs="宋体"/>
                <w:color w:val="000000"/>
                <w:szCs w:val="21"/>
              </w:rPr>
            </w:pPr>
            <w:r>
              <w:rPr>
                <w:rFonts w:hint="eastAsia" w:ascii="宋体" w:hAnsi="宋体" w:cs="宋体"/>
                <w:color w:val="000000"/>
                <w:szCs w:val="21"/>
              </w:rPr>
              <w:t>5</w:t>
            </w:r>
          </w:p>
        </w:tc>
        <w:tc>
          <w:tcPr>
            <w:tcW w:w="1505" w:type="dxa"/>
            <w:noWrap w:val="0"/>
            <w:vAlign w:val="center"/>
          </w:tcPr>
          <w:p>
            <w:pPr>
              <w:jc w:val="left"/>
              <w:rPr>
                <w:rFonts w:hint="eastAsia" w:ascii="宋体" w:hAnsi="宋体" w:cs="宋体"/>
                <w:szCs w:val="21"/>
              </w:rPr>
            </w:pPr>
            <w:r>
              <w:rPr>
                <w:rFonts w:hint="eastAsia" w:ascii="宋体" w:hAnsi="宋体" w:cs="宋体"/>
                <w:szCs w:val="21"/>
              </w:rPr>
              <w:t>承诺书</w:t>
            </w:r>
          </w:p>
        </w:tc>
        <w:tc>
          <w:tcPr>
            <w:tcW w:w="5563" w:type="dxa"/>
            <w:noWrap w:val="0"/>
            <w:vAlign w:val="center"/>
          </w:tcPr>
          <w:p>
            <w:pPr>
              <w:jc w:val="left"/>
              <w:rPr>
                <w:rFonts w:hint="eastAsia" w:ascii="宋体" w:hAnsi="宋体" w:cs="宋体"/>
                <w:szCs w:val="21"/>
              </w:rPr>
            </w:pPr>
            <w:r>
              <w:rPr>
                <w:rFonts w:hint="eastAsia" w:ascii="宋体" w:hAnsi="宋体" w:cs="宋体"/>
                <w:szCs w:val="21"/>
              </w:rPr>
              <w:t>申请单位需对所提供的材料真实性进行承诺</w:t>
            </w:r>
          </w:p>
        </w:tc>
      </w:tr>
    </w:tbl>
    <w:p>
      <w:pPr>
        <w:jc w:val="left"/>
        <w:rPr>
          <w:rFonts w:hint="eastAsia" w:ascii="宋体" w:hAnsi="宋体" w:cs="宋体"/>
          <w:szCs w:val="21"/>
        </w:rPr>
      </w:pPr>
      <w:r>
        <w:rPr>
          <w:rFonts w:hint="eastAsia" w:ascii="宋体" w:hAnsi="宋体" w:cs="宋体"/>
          <w:szCs w:val="21"/>
        </w:rPr>
        <w:t>注：</w:t>
      </w:r>
    </w:p>
    <w:p>
      <w:pPr>
        <w:jc w:val="left"/>
        <w:rPr>
          <w:rFonts w:eastAsia="仿宋_GB2312"/>
          <w:szCs w:val="21"/>
        </w:rPr>
      </w:pPr>
      <w:r>
        <w:rPr>
          <w:rFonts w:hint="eastAsia" w:ascii="宋体" w:hAnsi="宋体" w:cs="宋体"/>
          <w:szCs w:val="21"/>
        </w:rPr>
        <w:t>*特异性:对存在交叉反应的，应在说明书中列明与目标化合物存在交叉反应的化合物及其交叉反应率</w:t>
      </w:r>
    </w:p>
    <w:p>
      <w:pPr>
        <w:ind w:left="-708" w:leftChars="-337" w:right="-766" w:firstLine="316" w:firstLineChars="150"/>
        <w:jc w:val="left"/>
        <w:rPr>
          <w:rFonts w:eastAsia="仿宋_GB2312"/>
          <w:b/>
          <w:kern w:val="0"/>
          <w:szCs w:val="21"/>
        </w:rPr>
      </w:pPr>
    </w:p>
    <w:p>
      <w:pPr>
        <w:ind w:left="-708" w:leftChars="-337" w:right="-766" w:firstLine="422" w:firstLineChars="150"/>
        <w:jc w:val="left"/>
        <w:rPr>
          <w:rFonts w:eastAsia="仿宋_GB2312"/>
          <w:b/>
          <w:kern w:val="0"/>
          <w:sz w:val="28"/>
          <w:szCs w:val="28"/>
        </w:rPr>
      </w:pPr>
    </w:p>
    <w:p>
      <w:pPr>
        <w:ind w:left="-708" w:leftChars="-337" w:right="-766" w:firstLine="422" w:firstLineChars="150"/>
        <w:jc w:val="left"/>
        <w:rPr>
          <w:rFonts w:eastAsia="仿宋_GB2312"/>
          <w:b/>
          <w:kern w:val="0"/>
          <w:sz w:val="28"/>
          <w:szCs w:val="28"/>
        </w:rPr>
      </w:pPr>
    </w:p>
    <w:p>
      <w:pPr>
        <w:ind w:left="-708" w:leftChars="-337" w:right="-766" w:firstLine="422" w:firstLineChars="150"/>
        <w:rPr>
          <w:rFonts w:eastAsia="仿宋_GB2312"/>
          <w:b/>
          <w:kern w:val="0"/>
          <w:sz w:val="28"/>
          <w:szCs w:val="28"/>
          <w:highlight w:val="yellow"/>
        </w:rPr>
      </w:pPr>
    </w:p>
    <w:p>
      <w:pPr>
        <w:ind w:left="-708" w:leftChars="-337" w:right="-766" w:firstLine="422" w:firstLineChars="150"/>
        <w:rPr>
          <w:rFonts w:eastAsia="仿宋_GB2312"/>
          <w:b/>
          <w:kern w:val="0"/>
          <w:sz w:val="28"/>
          <w:szCs w:val="28"/>
          <w:highlight w:val="yellow"/>
        </w:rPr>
      </w:pPr>
    </w:p>
    <w:p>
      <w:pPr>
        <w:ind w:left="-708" w:leftChars="-337" w:right="-766" w:firstLine="422" w:firstLineChars="150"/>
        <w:rPr>
          <w:rFonts w:eastAsia="仿宋_GB2312"/>
          <w:b/>
          <w:kern w:val="0"/>
          <w:sz w:val="28"/>
          <w:szCs w:val="28"/>
          <w:highlight w:val="yellow"/>
        </w:rPr>
      </w:pPr>
    </w:p>
    <w:p>
      <w:pPr>
        <w:snapToGrid w:val="0"/>
        <w:spacing w:line="600" w:lineRule="exact"/>
        <w:ind w:right="169"/>
        <w:jc w:val="center"/>
        <w:rPr>
          <w:rFonts w:hint="eastAsia" w:ascii="华文中宋" w:hAnsi="华文中宋" w:eastAsia="华文中宋"/>
          <w:b/>
          <w:sz w:val="44"/>
          <w:szCs w:val="44"/>
        </w:rPr>
      </w:pPr>
    </w:p>
    <w:p>
      <w:pPr>
        <w:snapToGrid w:val="0"/>
        <w:spacing w:line="600" w:lineRule="exact"/>
        <w:ind w:right="169"/>
        <w:jc w:val="center"/>
        <w:rPr>
          <w:rFonts w:hint="eastAsia" w:ascii="华文中宋" w:hAnsi="华文中宋" w:eastAsia="华文中宋"/>
          <w:b/>
          <w:sz w:val="44"/>
          <w:szCs w:val="44"/>
        </w:rPr>
      </w:pPr>
      <w:r>
        <w:rPr>
          <w:rFonts w:hint="eastAsia" w:ascii="华文中宋" w:hAnsi="华文中宋" w:eastAsia="华文中宋"/>
          <w:b/>
          <w:sz w:val="44"/>
          <w:szCs w:val="44"/>
        </w:rPr>
        <w:t>快检产品信息表</w:t>
      </w:r>
    </w:p>
    <w:tbl>
      <w:tblPr>
        <w:tblStyle w:val="4"/>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357"/>
        <w:gridCol w:w="48"/>
        <w:gridCol w:w="1430"/>
        <w:gridCol w:w="1578"/>
        <w:gridCol w:w="123"/>
        <w:gridCol w:w="1360"/>
        <w:gridCol w:w="38"/>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2"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申报单位</w:t>
            </w:r>
          </w:p>
          <w:p>
            <w:pPr>
              <w:jc w:val="left"/>
              <w:rPr>
                <w:rFonts w:hint="eastAsia" w:ascii="宋体" w:hAnsi="宋体" w:cs="宋体"/>
                <w:szCs w:val="21"/>
              </w:rPr>
            </w:pPr>
            <w:r>
              <w:rPr>
                <w:rFonts w:hint="eastAsia" w:ascii="宋体" w:hAnsi="宋体" w:cs="宋体"/>
                <w:szCs w:val="21"/>
              </w:rPr>
              <w:t>（盖章）</w:t>
            </w:r>
          </w:p>
        </w:tc>
        <w:tc>
          <w:tcPr>
            <w:tcW w:w="1405"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申报时间</w:t>
            </w:r>
          </w:p>
          <w:p>
            <w:pPr>
              <w:jc w:val="left"/>
              <w:rPr>
                <w:rFonts w:hint="eastAsia" w:ascii="宋体" w:hAnsi="宋体" w:cs="宋体"/>
                <w:szCs w:val="21"/>
              </w:rPr>
            </w:pPr>
            <w:r>
              <w:rPr>
                <w:rFonts w:hint="eastAsia" w:ascii="宋体" w:hAnsi="宋体" w:cs="宋体"/>
                <w:szCs w:val="21"/>
              </w:rPr>
              <w:t>（年 月 日）</w:t>
            </w:r>
          </w:p>
        </w:tc>
        <w:tc>
          <w:tcPr>
            <w:tcW w:w="1578"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c>
          <w:tcPr>
            <w:tcW w:w="1521"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统一社会信用代码</w:t>
            </w:r>
          </w:p>
        </w:tc>
        <w:tc>
          <w:tcPr>
            <w:tcW w:w="147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法定代表人</w:t>
            </w:r>
          </w:p>
        </w:tc>
        <w:tc>
          <w:tcPr>
            <w:tcW w:w="1405"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联系人</w:t>
            </w:r>
          </w:p>
        </w:tc>
        <w:tc>
          <w:tcPr>
            <w:tcW w:w="1578"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c>
          <w:tcPr>
            <w:tcW w:w="1521"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联系电话</w:t>
            </w:r>
          </w:p>
        </w:tc>
        <w:tc>
          <w:tcPr>
            <w:tcW w:w="147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4503"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产品名称：</w:t>
            </w:r>
          </w:p>
        </w:tc>
        <w:tc>
          <w:tcPr>
            <w:tcW w:w="4574"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4503"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生产批号：      保质期：</w:t>
            </w:r>
          </w:p>
        </w:tc>
        <w:tc>
          <w:tcPr>
            <w:tcW w:w="4574"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保存条件：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快检参数1</w:t>
            </w:r>
          </w:p>
        </w:tc>
        <w:tc>
          <w:tcPr>
            <w:tcW w:w="135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47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使用范围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检出限</w:t>
            </w:r>
          </w:p>
        </w:tc>
        <w:tc>
          <w:tcPr>
            <w:tcW w:w="151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快检参数2</w:t>
            </w:r>
          </w:p>
        </w:tc>
        <w:tc>
          <w:tcPr>
            <w:tcW w:w="135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47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使用范围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检出限</w:t>
            </w:r>
          </w:p>
        </w:tc>
        <w:tc>
          <w:tcPr>
            <w:tcW w:w="151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是否在用</w:t>
            </w:r>
          </w:p>
        </w:tc>
        <w:tc>
          <w:tcPr>
            <w:tcW w:w="1357" w:type="dxa"/>
            <w:tcBorders>
              <w:top w:val="single" w:color="000000" w:sz="4" w:space="0"/>
              <w:left w:val="single" w:color="000000" w:sz="4" w:space="0"/>
              <w:right w:val="single" w:color="000000" w:sz="4" w:space="0"/>
            </w:tcBorders>
            <w:noWrap w:val="0"/>
            <w:vAlign w:val="top"/>
          </w:tcPr>
          <w:p>
            <w:pPr>
              <w:rPr>
                <w:rFonts w:hint="eastAsia" w:ascii="宋体" w:hAnsi="宋体" w:cs="宋体"/>
                <w:szCs w:val="21"/>
              </w:rPr>
            </w:pPr>
          </w:p>
        </w:tc>
        <w:tc>
          <w:tcPr>
            <w:tcW w:w="1478" w:type="dxa"/>
            <w:gridSpan w:val="2"/>
            <w:tcBorders>
              <w:top w:val="single" w:color="000000" w:sz="4" w:space="0"/>
              <w:left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是否经过评价（时间）</w:t>
            </w:r>
          </w:p>
        </w:tc>
        <w:tc>
          <w:tcPr>
            <w:tcW w:w="1701" w:type="dxa"/>
            <w:gridSpan w:val="2"/>
            <w:tcBorders>
              <w:top w:val="single" w:color="000000" w:sz="4" w:space="0"/>
              <w:left w:val="single" w:color="000000" w:sz="4" w:space="0"/>
              <w:right w:val="single" w:color="000000" w:sz="4" w:space="0"/>
            </w:tcBorders>
            <w:noWrap w:val="0"/>
            <w:vAlign w:val="top"/>
          </w:tcPr>
          <w:p>
            <w:pPr>
              <w:rPr>
                <w:rFonts w:hint="eastAsia" w:ascii="宋体" w:hAnsi="宋体" w:cs="宋体"/>
                <w:szCs w:val="21"/>
              </w:rPr>
            </w:pPr>
          </w:p>
        </w:tc>
        <w:tc>
          <w:tcPr>
            <w:tcW w:w="1360" w:type="dxa"/>
            <w:tcBorders>
              <w:top w:val="single" w:color="000000" w:sz="4" w:space="0"/>
              <w:left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评价机构</w:t>
            </w:r>
          </w:p>
        </w:tc>
        <w:tc>
          <w:tcPr>
            <w:tcW w:w="1513" w:type="dxa"/>
            <w:gridSpan w:val="2"/>
            <w:tcBorders>
              <w:top w:val="single" w:color="000000" w:sz="4" w:space="0"/>
              <w:left w:val="single" w:color="000000" w:sz="4" w:space="0"/>
              <w:right w:val="single" w:color="000000" w:sz="4" w:space="0"/>
            </w:tcBorders>
            <w:noWrap w:val="0"/>
            <w:vAlign w:val="top"/>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使用单位1</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使用量（月）</w:t>
            </w:r>
          </w:p>
        </w:tc>
        <w:tc>
          <w:tcPr>
            <w:tcW w:w="287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66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使用单位2</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r>
              <w:rPr>
                <w:rFonts w:hint="eastAsia" w:ascii="宋体" w:hAnsi="宋体" w:cs="宋体"/>
                <w:szCs w:val="21"/>
              </w:rPr>
              <w:t>使用量（月）</w:t>
            </w:r>
          </w:p>
        </w:tc>
        <w:tc>
          <w:tcPr>
            <w:tcW w:w="287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szCs w:val="21"/>
              </w:rPr>
            </w:pPr>
          </w:p>
        </w:tc>
      </w:tr>
    </w:tbl>
    <w:p>
      <w:pPr>
        <w:jc w:val="left"/>
        <w:rPr>
          <w:rFonts w:hint="eastAsia" w:ascii="宋体" w:hAnsi="宋体" w:cs="宋体"/>
          <w:b/>
          <w:szCs w:val="21"/>
        </w:rPr>
      </w:pPr>
      <w:r>
        <w:rPr>
          <w:rFonts w:hint="eastAsia" w:ascii="宋体" w:hAnsi="宋体" w:cs="宋体"/>
          <w:b/>
          <w:szCs w:val="21"/>
        </w:rPr>
        <w:t>注：</w:t>
      </w:r>
    </w:p>
    <w:p>
      <w:pPr>
        <w:jc w:val="left"/>
        <w:rPr>
          <w:rFonts w:hint="eastAsia" w:ascii="宋体" w:hAnsi="宋体" w:cs="宋体"/>
          <w:szCs w:val="21"/>
        </w:rPr>
      </w:pPr>
      <w:r>
        <w:rPr>
          <w:rFonts w:hint="eastAsia" w:ascii="宋体" w:hAnsi="宋体" w:cs="宋体"/>
          <w:szCs w:val="21"/>
        </w:rPr>
        <w:t>1.申报产品/参数较多时，请自行加行。</w:t>
      </w:r>
    </w:p>
    <w:p>
      <w:pPr>
        <w:rPr>
          <w:rFonts w:hint="eastAsia" w:ascii="宋体" w:hAnsi="宋体" w:cs="宋体"/>
          <w:szCs w:val="21"/>
        </w:rPr>
      </w:pPr>
      <w:r>
        <w:rPr>
          <w:rFonts w:hint="eastAsia" w:ascii="宋体" w:hAnsi="宋体" w:cs="宋体"/>
          <w:szCs w:val="21"/>
        </w:rPr>
        <w:t>2.申报时，同时提交以下材料（</w:t>
      </w:r>
      <w:r>
        <w:rPr>
          <w:rFonts w:hint="eastAsia" w:ascii="宋体" w:hAnsi="宋体" w:cs="宋体"/>
          <w:color w:val="000000"/>
          <w:szCs w:val="21"/>
        </w:rPr>
        <w:t>复印件，并加盖公司公章</w:t>
      </w:r>
      <w:r>
        <w:rPr>
          <w:rFonts w:hint="eastAsia" w:ascii="宋体" w:hAnsi="宋体" w:cs="宋体"/>
          <w:szCs w:val="21"/>
        </w:rPr>
        <w:t>）：</w:t>
      </w:r>
    </w:p>
    <w:p>
      <w:pPr>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szCs w:val="21"/>
        </w:rPr>
        <w:t>1）营业执照（必须提供）</w:t>
      </w:r>
    </w:p>
    <w:p>
      <w:pPr>
        <w:rPr>
          <w:rFonts w:hint="eastAsia" w:ascii="宋体" w:hAnsi="宋体" w:cs="宋体"/>
          <w:color w:val="000000"/>
          <w:szCs w:val="21"/>
        </w:rPr>
      </w:pPr>
      <w:r>
        <w:rPr>
          <w:rFonts w:hint="eastAsia" w:ascii="宋体" w:hAnsi="宋体" w:cs="宋体"/>
          <w:color w:val="000000"/>
          <w:szCs w:val="21"/>
        </w:rPr>
        <w:t>（2）生产设备情况证明材料（必须提供）</w:t>
      </w:r>
    </w:p>
    <w:p>
      <w:pPr>
        <w:rPr>
          <w:rFonts w:hint="eastAsia" w:ascii="宋体" w:hAnsi="宋体" w:cs="宋体"/>
          <w:color w:val="000000"/>
          <w:szCs w:val="21"/>
        </w:rPr>
      </w:pPr>
      <w:r>
        <w:rPr>
          <w:rFonts w:hint="eastAsia" w:ascii="宋体" w:hAnsi="宋体" w:cs="宋体"/>
          <w:color w:val="000000"/>
          <w:szCs w:val="21"/>
        </w:rPr>
        <w:t>（3）生产经营场地证明（必须提供）</w:t>
      </w:r>
    </w:p>
    <w:p>
      <w:pPr>
        <w:rPr>
          <w:rFonts w:hint="eastAsia" w:ascii="宋体" w:hAnsi="宋体" w:cs="宋体"/>
          <w:color w:val="000000"/>
          <w:szCs w:val="21"/>
        </w:rPr>
      </w:pPr>
      <w:r>
        <w:rPr>
          <w:rFonts w:hint="eastAsia" w:ascii="宋体" w:hAnsi="宋体" w:cs="宋体"/>
          <w:color w:val="000000"/>
          <w:szCs w:val="21"/>
        </w:rPr>
        <w:t>（4）信用证明情况（考察获得工商管理部门颁发的“守合同重信用企业荣誉证书”、银行颁发的信用AAA等级证书和税务部门颁发的纳税信用A级别证书的情况等）（如有，请提供）</w:t>
      </w:r>
    </w:p>
    <w:p>
      <w:pPr>
        <w:rPr>
          <w:rFonts w:hint="eastAsia" w:ascii="宋体" w:hAnsi="宋体" w:cs="宋体"/>
          <w:color w:val="000000"/>
          <w:szCs w:val="21"/>
        </w:rPr>
      </w:pPr>
      <w:r>
        <w:rPr>
          <w:rFonts w:hint="eastAsia" w:ascii="宋体" w:hAnsi="宋体" w:cs="宋体"/>
          <w:color w:val="000000"/>
          <w:szCs w:val="21"/>
        </w:rPr>
        <w:t>（5）高新科技奖（高新技术企业证书）（如有，请提供）</w:t>
      </w:r>
    </w:p>
    <w:p>
      <w:pPr>
        <w:rPr>
          <w:rFonts w:hint="eastAsia" w:ascii="宋体" w:hAnsi="宋体" w:cs="宋体"/>
          <w:color w:val="000000"/>
          <w:szCs w:val="21"/>
        </w:rPr>
      </w:pPr>
      <w:r>
        <w:rPr>
          <w:rFonts w:hint="eastAsia" w:ascii="宋体" w:hAnsi="宋体" w:cs="宋体"/>
          <w:color w:val="000000"/>
          <w:szCs w:val="21"/>
        </w:rPr>
        <w:t>（6）每个快检产品不同角度彩色照片4张（必须提供）</w:t>
      </w:r>
    </w:p>
    <w:p>
      <w:pPr>
        <w:rPr>
          <w:rFonts w:hint="eastAsia" w:ascii="宋体" w:hAnsi="宋体" w:cs="宋体"/>
          <w:color w:val="000000"/>
          <w:szCs w:val="21"/>
        </w:rPr>
      </w:pPr>
      <w:r>
        <w:rPr>
          <w:rFonts w:hint="eastAsia" w:ascii="宋体" w:hAnsi="宋体" w:cs="宋体"/>
          <w:color w:val="000000"/>
          <w:szCs w:val="21"/>
        </w:rPr>
        <w:t>（7）“是否在用”指是否已被深圳市食品安全快速筛查检测工作中采用。</w:t>
      </w:r>
    </w:p>
    <w:p>
      <w:pPr>
        <w:rPr>
          <w:rFonts w:eastAsia="仿宋_GB2312"/>
          <w:color w:val="000000"/>
          <w:sz w:val="24"/>
        </w:rPr>
      </w:pPr>
    </w:p>
    <w:p>
      <w:pPr>
        <w:rPr>
          <w:rFonts w:eastAsia="仿宋_GB2312"/>
          <w:color w:val="000000"/>
          <w:sz w:val="24"/>
        </w:rPr>
      </w:pPr>
    </w:p>
    <w:p>
      <w:pPr>
        <w:snapToGrid w:val="0"/>
        <w:spacing w:line="240" w:lineRule="atLeast"/>
      </w:pPr>
    </w:p>
    <w:p/>
    <w:p/>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bookmarkStart w:id="0" w:name="_GoBack"/>
      <w:bookmarkEnd w:id="0"/>
    </w:p>
    <w:sectPr>
      <w:footerReference r:id="rId8" w:type="default"/>
      <w:footerReference r:id="rId9" w:type="even"/>
      <w:pgSz w:w="11906" w:h="16838"/>
      <w:pgMar w:top="1588" w:right="1474" w:bottom="1588" w:left="1474"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- 9 -</w:t>
    </w:r>
    <w:r>
      <w:rPr>
        <w:rFonts w:hint="eastAsia" w:ascii="仿宋_GB2312" w:eastAsia="仿宋_GB2312"/>
        <w:sz w:val="28"/>
        <w:szCs w:val="28"/>
      </w:rPr>
      <w:fldChar w:fldCharType="end"/>
    </w:r>
    <w:r>
      <w:rPr>
        <w:rFonts w:hint="eastAsia" w:ascii="仿宋_GB2312" w:eastAsia="仿宋_GB2312"/>
        <w:sz w:val="28"/>
        <w:szCs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eastAsia="仿宋_GB2312"/>
        <w:sz w:val="28"/>
        <w:szCs w:val="28"/>
      </w:rPr>
    </w:pP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- 8 -</w:t>
    </w:r>
    <w:r>
      <w:rPr>
        <w:rStyle w:val="6"/>
        <w:rFonts w:hint="eastAsia" w:ascii="仿宋_GB2312" w:eastAsia="仿宋_GB2312"/>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6735"/>
    <w:multiLevelType w:val="singleLevel"/>
    <w:tmpl w:val="0E696735"/>
    <w:lvl w:ilvl="0" w:tentative="0">
      <w:start w:val="1"/>
      <w:numFmt w:val="japaneseCounting"/>
      <w:lvlText w:val="（%1）"/>
      <w:lvlJc w:val="left"/>
      <w:pPr>
        <w:ind w:left="1838" w:hanging="420"/>
      </w:pPr>
      <w:rPr>
        <w:rFonts w:hint="default"/>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55BD4"/>
    <w:rsid w:val="3485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2020-07-06T08:31:00Z</dcterms:created>
  <dc:creator>陈静敏</dc:creator>
  <cp:lastModifiedBy>陈静敏</cp:lastModifiedBy>
  <dcterms:modified xsi:type="dcterms:W3CDTF">2020-07-06T08:31:37Z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