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深圳标准先进性评价细则</w:t>
      </w:r>
    </w:p>
    <w:p>
      <w:pPr>
        <w:ind w:firstLine="3415" w:firstLineChars="945"/>
        <w:rPr>
          <w:rFonts w:ascii="黑体" w:eastAsia="黑体"/>
          <w:b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b/>
          <w:color w:val="000000" w:themeColor="text1"/>
          <w:sz w:val="36"/>
          <w:szCs w:val="30"/>
          <w14:textFill>
            <w14:solidFill>
              <w14:schemeClr w14:val="tx1"/>
            </w14:solidFill>
          </w14:textFill>
        </w:rPr>
        <w:t>早教故事机</w:t>
      </w:r>
    </w:p>
    <w:p>
      <w:pPr>
        <w:ind w:firstLine="600" w:firstLineChars="2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为对早教故事机产品标准进行深圳标准先进性评价，特制定本细则。本细则主要内容包括但不限于：主要技术指标确定程序、主要技术指标、先进性判定标准、先进性评价程序等。</w:t>
      </w:r>
    </w:p>
    <w:p>
      <w:pPr>
        <w:ind w:firstLine="600" w:firstLineChars="2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具体如下：</w:t>
      </w:r>
    </w:p>
    <w:p>
      <w:pPr>
        <w:pStyle w:val="13"/>
        <w:numPr>
          <w:ilvl w:val="0"/>
          <w:numId w:val="2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主要技术指标确定程序</w:t>
      </w:r>
    </w:p>
    <w:p>
      <w:pPr>
        <w:ind w:firstLine="600" w:firstLineChars="2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主要技术指标的确定程序包括：</w:t>
      </w:r>
    </w:p>
    <w:p>
      <w:pPr>
        <w:pStyle w:val="13"/>
        <w:numPr>
          <w:ilvl w:val="0"/>
          <w:numId w:val="3"/>
        </w:numPr>
        <w:ind w:left="1134" w:hanging="534" w:firstLineChars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梳理国内外相关标准，形成相关的标准集合；</w:t>
      </w:r>
    </w:p>
    <w:p>
      <w:pPr>
        <w:pStyle w:val="13"/>
        <w:numPr>
          <w:ilvl w:val="0"/>
          <w:numId w:val="3"/>
        </w:numPr>
        <w:ind w:left="1134" w:hanging="534" w:firstLineChars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收集产品相关的认证项目和检测要求；</w:t>
      </w:r>
    </w:p>
    <w:p>
      <w:pPr>
        <w:pStyle w:val="13"/>
        <w:numPr>
          <w:ilvl w:val="0"/>
          <w:numId w:val="3"/>
        </w:numPr>
        <w:ind w:left="1134" w:hanging="534" w:firstLineChars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基于行业现状和市场需求，按照指标项的类型、层次、作用进行划分，形成指标池；</w:t>
      </w:r>
    </w:p>
    <w:p>
      <w:pPr>
        <w:pStyle w:val="13"/>
        <w:numPr>
          <w:ilvl w:val="0"/>
          <w:numId w:val="3"/>
        </w:numPr>
        <w:ind w:left="1134" w:hanging="534" w:firstLineChars="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征求行业协会、</w:t>
      </w:r>
      <w:r>
        <w:rPr>
          <w:rFonts w:hint="eastAsia" w:ascii="Times New Roman" w:hAnsi="Times New Roman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专业技术机构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意见，召开专家评审会，在指标池中抽取核心指标，并确定核心指标基准线。</w:t>
      </w:r>
    </w:p>
    <w:p>
      <w:pPr>
        <w:pStyle w:val="13"/>
        <w:numPr>
          <w:ilvl w:val="0"/>
          <w:numId w:val="2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早教故事机产品标准评价</w:t>
      </w:r>
    </w:p>
    <w:p>
      <w:pPr>
        <w:pStyle w:val="13"/>
        <w:numPr>
          <w:ilvl w:val="0"/>
          <w:numId w:val="4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主要技术指标</w:t>
      </w:r>
    </w:p>
    <w:p>
      <w:pPr>
        <w:pStyle w:val="13"/>
        <w:ind w:firstLine="600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梳理早教故事机</w:t>
      </w:r>
      <w:bookmarkStart w:id="0" w:name="_GoBack"/>
      <w:bookmarkEnd w:id="0"/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产品指标项，在满足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国家标准GB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6675.1-2014《玩具安全第1部分：基本规范》、GB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6675.2-2014《玩具安全 第2部分：机械与物理性能》、GB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6675.3-2014《玩具安全 第3部分：易燃性能》、GB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6675.4-2014《玩具安全 第4部分：特定元素的迁移》、GB 19865-2005《电玩具的安全》、GB 31241-2014《便携式电子产品用锂离子电池和电池组 安全要求》等相关要求</w:t>
      </w: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的基础上，对指标的国内外现状进行分析研究，以国内领先、国际先进水平或者填补国内、国际空白为原则，从以下八类指标性质提出影响产品质量的主要技术指标：</w:t>
      </w:r>
    </w:p>
    <w:p>
      <w:pPr>
        <w:pStyle w:val="13"/>
        <w:numPr>
          <w:ilvl w:val="0"/>
          <w:numId w:val="5"/>
        </w:numPr>
        <w:ind w:firstLineChars="0"/>
        <w:rPr>
          <w:rFonts w:asci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产品创新，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能够进一步满足顾客需求，开辟新的市场；</w:t>
      </w:r>
    </w:p>
    <w:p>
      <w:pPr>
        <w:pStyle w:val="13"/>
        <w:numPr>
          <w:ilvl w:val="0"/>
          <w:numId w:val="5"/>
        </w:numPr>
        <w:ind w:firstLineChars="0"/>
        <w:rPr>
          <w:rFonts w:asci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符合产业政策引导方向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；</w:t>
      </w:r>
    </w:p>
    <w:p>
      <w:pPr>
        <w:pStyle w:val="13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填补国内（国际）空白，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能够提升产品质量；</w:t>
      </w:r>
    </w:p>
    <w:p>
      <w:pPr>
        <w:pStyle w:val="13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严于国家行业标准，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质量提升明显；</w:t>
      </w:r>
    </w:p>
    <w:p>
      <w:pPr>
        <w:pStyle w:val="13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清洁生产，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材料选择、生产过程生态环保；</w:t>
      </w:r>
    </w:p>
    <w:p>
      <w:pPr>
        <w:pStyle w:val="13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产品安全健康环保，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维护人体安全，有利身体健康，加强环境保护；</w:t>
      </w:r>
    </w:p>
    <w:p>
      <w:pPr>
        <w:pStyle w:val="13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消费体验，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满足消费者实际需求，提升用户体验；</w:t>
      </w:r>
    </w:p>
    <w:p>
      <w:pPr>
        <w:pStyle w:val="13"/>
        <w:numPr>
          <w:ilvl w:val="0"/>
          <w:numId w:val="5"/>
        </w:numPr>
        <w:ind w:firstLineChars="0"/>
        <w:rPr>
          <w:rFonts w:asci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行业特殊要求，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符合并高于产品所在行业的特殊要求，带动质量明显提升。</w:t>
      </w:r>
    </w:p>
    <w:p>
      <w:pPr>
        <w:pStyle w:val="13"/>
        <w:numPr>
          <w:ilvl w:val="0"/>
          <w:numId w:val="4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先进性判定标准</w:t>
      </w:r>
    </w:p>
    <w:p>
      <w:pPr>
        <w:ind w:firstLine="600" w:firstLineChars="200"/>
        <w:rPr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先进性判定标准见表1：</w:t>
      </w:r>
    </w:p>
    <w:p>
      <w:pPr>
        <w:ind w:firstLine="480" w:firstLineChars="200"/>
        <w:jc w:val="center"/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表</w:t>
      </w:r>
      <w:r>
        <w:rPr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  </w:t>
      </w:r>
      <w:r>
        <w:rPr>
          <w:rFonts w:hint="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早教故事机产品先进性判定标准</w:t>
      </w:r>
    </w:p>
    <w:p>
      <w:pPr>
        <w:rPr>
          <w:rFonts w:ascii="Times New Roman" w:hAnsi="Times New Roman" w:eastAsia="黑体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104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131"/>
        <w:gridCol w:w="585"/>
        <w:gridCol w:w="690"/>
        <w:gridCol w:w="2276"/>
        <w:gridCol w:w="2830"/>
        <w:gridCol w:w="22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701" w:type="dxa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序号</w:t>
            </w:r>
          </w:p>
        </w:tc>
        <w:tc>
          <w:tcPr>
            <w:tcW w:w="1131" w:type="dxa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指标性质</w:t>
            </w:r>
          </w:p>
        </w:tc>
        <w:tc>
          <w:tcPr>
            <w:tcW w:w="1275" w:type="dxa"/>
            <w:gridSpan w:val="2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关键指标项</w:t>
            </w:r>
          </w:p>
        </w:tc>
        <w:tc>
          <w:tcPr>
            <w:tcW w:w="2276" w:type="dxa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指标先进值</w:t>
            </w:r>
          </w:p>
        </w:tc>
        <w:tc>
          <w:tcPr>
            <w:tcW w:w="2830" w:type="dxa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检测方法</w:t>
            </w:r>
          </w:p>
        </w:tc>
        <w:tc>
          <w:tcPr>
            <w:tcW w:w="2236" w:type="dxa"/>
            <w:shd w:val="clear" w:color="auto" w:fill="BFBFBF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pStyle w:val="23"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消费体验</w:t>
            </w: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音质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频率响应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频率范围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在200Hz至8000Hz内，测得声压级的最大值和最小值差值不大于20dB；</w:t>
            </w:r>
          </w:p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（2）总谐波失真：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在1kHz，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总谐波失真（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THD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）不大于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20%。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GB/T 12060.5-2011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声系统设备 第5部分：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扬声器主要性能测试方法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自动关机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功能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具备自动关机功能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按产品说明书操作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具备自动关机的功能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故事内容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来源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正版授权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检查正版授权的相关资质文件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0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pStyle w:val="23"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严于国家行业标准</w:t>
            </w:r>
          </w:p>
        </w:tc>
        <w:tc>
          <w:tcPr>
            <w:tcW w:w="585" w:type="dxa"/>
            <w:vMerge w:val="restart"/>
            <w:shd w:val="clear" w:color="auto" w:fill="auto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可</w:t>
            </w: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靠</w:t>
            </w: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Arial" w:hAnsi="Arial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跌落测试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0-18个月：若m＜1.4kg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（148±5）cm，12次；</w:t>
            </w:r>
          </w:p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18个月以上：若m＜4.5kg，（103±5）cm，6次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测试后，产品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各项功能正常，仍应满足GB 6675.2-2014的相关要求。       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GB 6675.2-2014玩具安全 第2部分：机械与物理性能 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jc w:val="left"/>
              <w:rPr>
                <w:rFonts w:ascii="Arial" w:hAnsi="Arial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kern w:val="0"/>
                <w:sz w:val="22"/>
                <w14:textFill>
                  <w14:solidFill>
                    <w14:schemeClr w14:val="tx1"/>
                  </w14:solidFill>
                </w14:textFill>
              </w:rPr>
              <w:t>冲击测试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测试后，产品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各项功能正常，仍应满足GB 6675.2-2014的相关要求。</w:t>
            </w:r>
          </w:p>
        </w:tc>
        <w:tc>
          <w:tcPr>
            <w:tcW w:w="2830" w:type="dxa"/>
            <w:vAlign w:val="center"/>
          </w:tcPr>
          <w:p>
            <w:pPr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参考 BS EN 71-1进行测试，冲击物的质量（1±0.02）kg，选取直径为（80±2）mm的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砝码</w:t>
            </w:r>
            <w:r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，冲击高度为（100±2）mm</w:t>
            </w: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36" w:type="dxa"/>
            <w:vAlign w:val="center"/>
          </w:tcPr>
          <w:p>
            <w:pPr>
              <w:jc w:val="center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1" w:type="dxa"/>
            <w:vMerge w:val="restart"/>
            <w:vAlign w:val="center"/>
          </w:tcPr>
          <w:p>
            <w:pPr>
              <w:pStyle w:val="23"/>
              <w:numPr>
                <w:ilvl w:val="0"/>
                <w:numId w:val="7"/>
              </w:numPr>
              <w:ind w:firstLineChars="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填补国内空白</w:t>
            </w:r>
          </w:p>
        </w:tc>
        <w:tc>
          <w:tcPr>
            <w:tcW w:w="585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材料安全</w:t>
            </w: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特定元素的迁移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pStyle w:val="21"/>
              <w:ind w:firstLine="0"/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见附表</w:t>
            </w:r>
            <w:r>
              <w:rPr>
                <w:rFonts w:hint="eastAsia"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830" w:type="dxa"/>
            <w:vAlign w:val="center"/>
          </w:tcPr>
          <w:p>
            <w:pPr>
              <w:pStyle w:val="21"/>
              <w:ind w:firstLine="0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 w:cstheme="minorBidi"/>
                <w:color w:val="000000"/>
                <w:szCs w:val="21"/>
              </w:rPr>
              <w:t>BS EN 71-3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玩具安全 第</w:t>
            </w: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部分：特定元素的迁移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材料分类见附表2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邻苯二甲酸酯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pStyle w:val="21"/>
              <w:ind w:firstLine="0"/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见附表3</w:t>
            </w:r>
          </w:p>
        </w:tc>
        <w:tc>
          <w:tcPr>
            <w:tcW w:w="2830" w:type="dxa"/>
            <w:vAlign w:val="center"/>
          </w:tcPr>
          <w:p>
            <w:pPr>
              <w:widowControl/>
              <w:jc w:val="left"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DNOP、 DINP、 DIDP 按 GB/T 22048-2015 进行测试。其他邻苯二甲酸酯含量按 CPSC-CH-C1001-09.4 进行测试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9" w:hRule="atLeast"/>
          <w:jc w:val="center"/>
        </w:trPr>
        <w:tc>
          <w:tcPr>
            <w:tcW w:w="701" w:type="dxa"/>
            <w:shd w:val="clear" w:color="auto" w:fill="auto"/>
            <w:vAlign w:val="center"/>
          </w:tcPr>
          <w:p>
            <w:pPr>
              <w:numPr>
                <w:ilvl w:val="0"/>
                <w:numId w:val="6"/>
              </w:num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1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90" w:type="dxa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多环芳烃</w:t>
            </w:r>
          </w:p>
        </w:tc>
        <w:tc>
          <w:tcPr>
            <w:tcW w:w="2276" w:type="dxa"/>
            <w:shd w:val="clear" w:color="auto" w:fill="auto"/>
            <w:vAlign w:val="center"/>
          </w:tcPr>
          <w:p>
            <w:pPr>
              <w:pStyle w:val="21"/>
              <w:ind w:firstLine="0"/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Arial" w:asciiTheme="minorEastAsia" w:hAnsiTheme="minorEastAsia" w:eastAsia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见附表4</w:t>
            </w:r>
          </w:p>
        </w:tc>
        <w:tc>
          <w:tcPr>
            <w:tcW w:w="2830" w:type="dxa"/>
            <w:vAlign w:val="center"/>
          </w:tcPr>
          <w:p>
            <w:pPr>
              <w:pStyle w:val="21"/>
              <w:ind w:firstLine="0"/>
              <w:rPr>
                <w:rFonts w:asciiTheme="minorEastAsia" w:hAnsiTheme="minorEastAsia" w:eastAsiaTheme="minorEastAsia" w:cstheme="minorBidi"/>
                <w:color w:val="000000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color w:val="000000"/>
                <w:szCs w:val="21"/>
              </w:rPr>
              <w:t>AfPS-GS-2019-01-PAK-EN</w:t>
            </w:r>
          </w:p>
          <w:p>
            <w:pPr>
              <w:widowControl/>
              <w:rPr>
                <w:rFonts w:cs="Arial"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/>
                <w:szCs w:val="21"/>
              </w:rPr>
              <w:t>根据产品安全法案第21(1)第3条授予</w:t>
            </w:r>
            <w:r>
              <w:rPr>
                <w:rFonts w:asciiTheme="minorEastAsia" w:hAnsiTheme="minorEastAsia"/>
                <w:color w:val="000000"/>
                <w:szCs w:val="21"/>
              </w:rPr>
              <w:t>GS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标准规格的过程中，对多环芳烃(</w:t>
            </w:r>
            <w:r>
              <w:rPr>
                <w:rFonts w:asciiTheme="minorEastAsia" w:hAnsiTheme="minorEastAsia"/>
                <w:color w:val="000000"/>
                <w:szCs w:val="21"/>
              </w:rPr>
              <w:t>PAHs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)进行测试和评估</w:t>
            </w:r>
          </w:p>
        </w:tc>
        <w:tc>
          <w:tcPr>
            <w:tcW w:w="2236" w:type="dxa"/>
            <w:vAlign w:val="center"/>
          </w:tcPr>
          <w:p>
            <w:pPr>
              <w:widowControl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材料分类见表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4所述。其中可入口的情形可参考</w:t>
            </w:r>
          </w:p>
          <w:p>
            <w:pPr>
              <w:widowControl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/>
                <w:szCs w:val="21"/>
              </w:rPr>
              <w:t>Guideline on the interpretation of the concept “which can be placed in the mouth” as laid down in the entry 52 of Annex XVII to REACH Regulation 1907/2006的规定</w:t>
            </w:r>
            <w:r>
              <w:rPr>
                <w:rFonts w:hint="eastAsia" w:asciiTheme="minorEastAsia" w:hAnsiTheme="minorEastAsia"/>
                <w:color w:val="000000"/>
                <w:szCs w:val="21"/>
              </w:rPr>
              <w:t>。</w:t>
            </w:r>
          </w:p>
        </w:tc>
      </w:tr>
    </w:tbl>
    <w:p>
      <w:pPr>
        <w:rPr>
          <w:rFonts w:ascii="Times New Roman" w:hAnsi="Times New Roman" w:eastAsia="黑体"/>
          <w:color w:val="000000" w:themeColor="text1"/>
          <w:szCs w:val="2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hint="eastAsia"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rPr>
          <w:rFonts w:ascii="Times New Roman" w:hAnsi="Times New Roman" w:eastAsia="黑体"/>
          <w:szCs w:val="20"/>
        </w:rPr>
      </w:pPr>
    </w:p>
    <w:p>
      <w:pPr>
        <w:tabs>
          <w:tab w:val="left" w:pos="7742"/>
        </w:tabs>
        <w:rPr>
          <w:rFonts w:ascii="Times New Roman" w:hAnsi="Times New Roman" w:eastAsia="黑体"/>
          <w:szCs w:val="20"/>
        </w:rPr>
      </w:pPr>
      <w:r>
        <w:rPr>
          <w:rFonts w:ascii="Times New Roman" w:hAnsi="Times New Roman" w:eastAsia="黑体"/>
          <w:szCs w:val="20"/>
        </w:rPr>
        <w:tab/>
      </w:r>
    </w:p>
    <w:p>
      <w:pPr>
        <w:pStyle w:val="21"/>
        <w:snapToGrid w:val="0"/>
        <w:ind w:firstLine="42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附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表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产品可触及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材料中可迁移元素的最大限量要求</w:t>
      </w:r>
    </w:p>
    <w:tbl>
      <w:tblPr>
        <w:tblStyle w:val="7"/>
        <w:tblW w:w="855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2170"/>
        <w:gridCol w:w="2047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vMerge w:val="restart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元素</w:t>
            </w:r>
          </w:p>
        </w:tc>
        <w:tc>
          <w:tcPr>
            <w:tcW w:w="6489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最大迁移量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 类 mg/kg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II类 mg/kg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III类 mg/kg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铝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5625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1406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锑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11.3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砷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3.8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钡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1500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375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硼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镉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1.3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0.3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三价铬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37.5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六价铬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0.02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0.005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0.053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钴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10.5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2.6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铜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622.5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156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7700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铅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2.0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0.5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锰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1200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汞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7.5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1.9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镍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75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18.8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硒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37.5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9.4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锶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4500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1125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56000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锡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15000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3750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180000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有机锡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0.9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0.2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0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锌</w:t>
            </w:r>
          </w:p>
        </w:tc>
        <w:tc>
          <w:tcPr>
            <w:tcW w:w="2170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3750</w:t>
            </w:r>
          </w:p>
        </w:tc>
        <w:tc>
          <w:tcPr>
            <w:tcW w:w="2047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938</w:t>
            </w:r>
          </w:p>
        </w:tc>
        <w:tc>
          <w:tcPr>
            <w:tcW w:w="22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46000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559" w:type="dxa"/>
            <w:gridSpan w:val="4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注：材料分类见附表</w:t>
            </w:r>
            <w:r>
              <w:rPr>
                <w:rFonts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</w:tbl>
    <w:p>
      <w:pPr>
        <w:pStyle w:val="21"/>
        <w:jc w:val="center"/>
      </w:pPr>
    </w:p>
    <w:p>
      <w:pPr>
        <w:pStyle w:val="21"/>
        <w:jc w:val="center"/>
      </w:pPr>
    </w:p>
    <w:p>
      <w:pPr>
        <w:pStyle w:val="21"/>
        <w:jc w:val="center"/>
      </w:pPr>
    </w:p>
    <w:p>
      <w:pPr>
        <w:pStyle w:val="21"/>
        <w:jc w:val="center"/>
      </w:pPr>
    </w:p>
    <w:p>
      <w:pPr>
        <w:pStyle w:val="21"/>
        <w:snapToGrid w:val="0"/>
        <w:ind w:firstLine="420"/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 xml:space="preserve">附表 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t>2 材料分类</w:t>
      </w:r>
    </w:p>
    <w:tbl>
      <w:tblPr>
        <w:tblStyle w:val="8"/>
        <w:tblW w:w="8585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850"/>
        <w:gridCol w:w="993"/>
        <w:gridCol w:w="10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1" w:type="dxa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玩具材料</w:t>
            </w:r>
          </w:p>
        </w:tc>
        <w:tc>
          <w:tcPr>
            <w:tcW w:w="850" w:type="dxa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分类</w:t>
            </w: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</w:t>
            </w:r>
          </w:p>
        </w:tc>
        <w:tc>
          <w:tcPr>
            <w:tcW w:w="993" w:type="dxa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分类</w:t>
            </w: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II</w:t>
            </w:r>
          </w:p>
        </w:tc>
        <w:tc>
          <w:tcPr>
            <w:tcW w:w="1071" w:type="dxa"/>
          </w:tcPr>
          <w:p>
            <w:pPr>
              <w:rPr>
                <w:rFonts w:ascii="黑体" w:hAnsi="黑体" w:eastAsia="黑体"/>
                <w:sz w:val="18"/>
                <w:szCs w:val="18"/>
              </w:rPr>
            </w:pPr>
            <w:r>
              <w:rPr>
                <w:rFonts w:ascii="黑体" w:hAnsi="黑体" w:eastAsia="黑体"/>
                <w:sz w:val="18"/>
                <w:szCs w:val="18"/>
              </w:rPr>
              <w:t>分类</w:t>
            </w:r>
            <w:r>
              <w:rPr>
                <w:rFonts w:ascii="黑体" w:hAnsi="黑体" w:eastAsia="黑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III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1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油漆、清漆、漆、印墨、聚合物、泡沫及类似涂料用涂料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1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聚合物及类似材料，包括层压板，不论是否纺织品加固的，但不包括其他纺织品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1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纸和纸板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1" w:type="dxa"/>
          </w:tcPr>
          <w:p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纺织品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不论是天然的或合成的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1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玻璃，陶瓷，金属材料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1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木材、纤维板、硬板、骨头、皮革等实心材料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1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压缩油漆片、打算在玩具中留下痕迹或类似固态物质的材料(例如: 彩色铅笔芯、粉笔、蜡笔)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1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柔软的模型材料，包括模型粘土和石膏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1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液体颜料，包括手指涂料、清漆、漆、钢笔中的液体墨水和类似液体形式出现在玩具中的材料(例如: 液体颜料、气泡颜料)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1" w:type="dxa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胶棒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X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</w:tr>
    </w:tbl>
    <w:p>
      <w:pPr>
        <w:pStyle w:val="21"/>
        <w:jc w:val="center"/>
      </w:pPr>
    </w:p>
    <w:p>
      <w:pPr>
        <w:pStyle w:val="21"/>
        <w:ind w:firstLine="0"/>
      </w:pPr>
    </w:p>
    <w:p>
      <w:pPr>
        <w:pStyle w:val="21"/>
        <w:jc w:val="center"/>
      </w:pPr>
      <w:r>
        <w:rPr>
          <w:rFonts w:hint="eastAsia"/>
        </w:rPr>
        <w:t>附表</w:t>
      </w:r>
      <w:r>
        <w:t>3</w:t>
      </w:r>
      <w:r>
        <w:rPr>
          <w:rFonts w:hint="eastAsia"/>
        </w:rPr>
        <w:t>限定增塑剂类别和限量要求</w:t>
      </w:r>
    </w:p>
    <w:tbl>
      <w:tblPr>
        <w:tblStyle w:val="7"/>
        <w:tblW w:w="8637" w:type="dxa"/>
        <w:jc w:val="center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389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tblHeader/>
          <w:jc w:val="center"/>
        </w:trPr>
        <w:tc>
          <w:tcPr>
            <w:tcW w:w="4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限定增塑剂类别</w:t>
            </w:r>
          </w:p>
        </w:tc>
        <w:tc>
          <w:tcPr>
            <w:tcW w:w="3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限量</w:t>
            </w:r>
            <w:r>
              <w:rPr>
                <w:rFonts w:ascii="黑体" w:hAnsi="黑体" w:eastAsia="黑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/%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邻苯二甲酸二正辛酯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(DNOP) </w:t>
            </w:r>
          </w:p>
        </w:tc>
        <w:tc>
          <w:tcPr>
            <w:tcW w:w="389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三种增塑剂总含量≤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邻苯二甲酸二异壬酯(DINP) </w:t>
            </w:r>
          </w:p>
        </w:tc>
        <w:tc>
          <w:tcPr>
            <w:tcW w:w="3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  <w:jc w:val="center"/>
        </w:trPr>
        <w:tc>
          <w:tcPr>
            <w:tcW w:w="4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邻苯二甲酸二异癸酯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(DIDP)  </w:t>
            </w:r>
          </w:p>
        </w:tc>
        <w:tc>
          <w:tcPr>
            <w:tcW w:w="3897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邻苯二甲酸双戊酯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(DPENP)</w:t>
            </w:r>
          </w:p>
        </w:tc>
        <w:tc>
          <w:tcPr>
            <w:tcW w:w="3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邻苯二甲酸二己酯（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DHEXP</w:t>
            </w: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邻苯二甲酸二环己酯（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DCHP</w:t>
            </w: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4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邻苯二甲酸二异丁酯（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DIBP</w:t>
            </w: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389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≤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37" w:type="dxa"/>
            <w:gridSpan w:val="2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注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对于单一样品的单一材料的取样量不足</w:t>
            </w:r>
            <w:r>
              <w:rPr>
                <w:rFonts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10mg</w:t>
            </w:r>
            <w:r>
              <w:rPr>
                <w:rFonts w:hint="eastAsia" w:asci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时予以豁免。</w:t>
            </w:r>
          </w:p>
        </w:tc>
      </w:tr>
    </w:tbl>
    <w:p>
      <w:pPr>
        <w:jc w:val="center"/>
        <w:rPr>
          <w:rFonts w:ascii="宋体" w:hAnsi="Times New Roman"/>
          <w:szCs w:val="20"/>
        </w:rPr>
      </w:pPr>
    </w:p>
    <w:p>
      <w:pPr>
        <w:widowControl/>
        <w:jc w:val="left"/>
        <w:rPr>
          <w:rFonts w:ascii="宋体" w:hAnsi="Times New Roman"/>
          <w:szCs w:val="20"/>
        </w:rPr>
        <w:sectPr>
          <w:headerReference r:id="rId7" w:type="default"/>
          <w:pgSz w:w="11906" w:h="16838"/>
          <w:pgMar w:top="1418" w:right="1531" w:bottom="1418" w:left="1531" w:header="851" w:footer="992" w:gutter="0"/>
          <w:cols w:space="425" w:num="1"/>
          <w:docGrid w:type="lines" w:linePitch="312" w:charSpace="0"/>
        </w:sectPr>
      </w:pPr>
      <w:r>
        <w:rPr>
          <w:rFonts w:ascii="宋体" w:hAnsi="Times New Roman"/>
          <w:szCs w:val="20"/>
        </w:rPr>
        <w:br w:type="page"/>
      </w:r>
    </w:p>
    <w:p>
      <w:pPr>
        <w:jc w:val="center"/>
        <w:rPr>
          <w:rFonts w:ascii="宋体" w:hAnsi="Times New Roman"/>
          <w:szCs w:val="20"/>
        </w:rPr>
      </w:pPr>
      <w:r>
        <w:rPr>
          <w:rFonts w:hint="eastAsia" w:ascii="宋体" w:hAnsi="Times New Roman"/>
          <w:szCs w:val="20"/>
        </w:rPr>
        <w:t>附表</w:t>
      </w:r>
      <w:r>
        <w:rPr>
          <w:rFonts w:ascii="宋体" w:hAnsi="Times New Roman"/>
          <w:szCs w:val="20"/>
        </w:rPr>
        <w:t xml:space="preserve">4 </w:t>
      </w:r>
      <w:r>
        <w:rPr>
          <w:rFonts w:hint="eastAsia" w:ascii="宋体" w:hAnsi="Times New Roman"/>
          <w:szCs w:val="20"/>
        </w:rPr>
        <w:t>多环芳烃限值</w:t>
      </w:r>
    </w:p>
    <w:p>
      <w:pPr>
        <w:tabs>
          <w:tab w:val="left" w:pos="7742"/>
        </w:tabs>
        <w:rPr>
          <w:rFonts w:ascii="Times New Roman" w:hAnsi="Times New Roman" w:eastAsia="黑体"/>
          <w:szCs w:val="20"/>
        </w:rPr>
      </w:pPr>
    </w:p>
    <w:tbl>
      <w:tblPr>
        <w:tblStyle w:val="7"/>
        <w:tblW w:w="883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1832"/>
        <w:gridCol w:w="1111"/>
        <w:gridCol w:w="1125"/>
        <w:gridCol w:w="663"/>
        <w:gridCol w:w="42"/>
        <w:gridCol w:w="108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测试项目</w:t>
            </w:r>
          </w:p>
        </w:tc>
        <w:tc>
          <w:tcPr>
            <w:tcW w:w="18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类别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意图放入口中的材料、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2009/48/EC范围内的玩具、可预见与皮肤长时间接触（超过30秒）的3岁以下儿童使用的产品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未包含在类别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1中，预期与皮肤会长时间接触（超过30秒），或者和皮肤反复短时间接触的材料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未包含在类别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1和2中，和皮肤短期接触（不超过30秒）的材料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32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儿童产品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其他类产品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儿童产品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其他类产品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Benzo[a]pyrene苯并[a]芘，mg/kg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Benzo[e]pyrene苯并[e]芘，mg/kg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Benzo[a]anthracene苯并[a]蒽，mg/kg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Benzo[b]fluoranthene苯并[b]荧蒽，mg/kg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Benzo[j]fluoranthene苯并[j]荧蒽，mg/kg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Benzo[k]fluoranthene苯并[k]荧蒽，mg/kg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Chrysene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䓛，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Dibenzo[a,h]anthracene二苯并[a,h]蒽，mg/kg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Benzo[g,h,i]perylene 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苯并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[g,h,i]苝（二萘嵌苯），mg/kg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Indeno[1,2,3-cd]pyrene茚并[1,2,3-cd]芘，mg/kg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0.5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4种总量（Phenanthrene菲，Anthracene蒽，Pyrene芘，Fluoranthene荧蒽），mg/kg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Naphthalene萘，mg/kg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7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15种PAHs总量，mg/kg</w:t>
            </w:r>
          </w:p>
        </w:tc>
        <w:tc>
          <w:tcPr>
            <w:tcW w:w="18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6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1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＜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50</w:t>
            </w:r>
          </w:p>
        </w:tc>
      </w:tr>
    </w:tbl>
    <w:p>
      <w:pPr>
        <w:tabs>
          <w:tab w:val="left" w:pos="7742"/>
        </w:tabs>
        <w:rPr>
          <w:rFonts w:ascii="Times New Roman" w:hAnsi="Times New Roman" w:eastAsia="黑体"/>
          <w:szCs w:val="20"/>
        </w:rPr>
        <w:sectPr>
          <w:pgSz w:w="11906" w:h="16838"/>
          <w:pgMar w:top="1418" w:right="1531" w:bottom="1418" w:left="1531" w:header="851" w:footer="992" w:gutter="0"/>
          <w:cols w:space="425" w:num="1"/>
          <w:docGrid w:type="lines" w:linePitch="312" w:charSpace="0"/>
        </w:sectPr>
      </w:pPr>
    </w:p>
    <w:p>
      <w:pP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三</w:t>
      </w:r>
      <w:r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、</w:t>
      </w: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先进性评价程序</w:t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0" distR="0">
            <wp:extent cx="4452620" cy="5391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52620" cy="539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3"/>
        <w:numPr>
          <w:ilvl w:val="0"/>
          <w:numId w:val="8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实施日期</w:t>
      </w:r>
    </w:p>
    <w:p>
      <w:pPr>
        <w:ind w:firstLine="450" w:firstLineChars="150"/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本细则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自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月2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日起</w:t>
      </w:r>
      <w:r>
        <w:rPr>
          <w:rFonts w:ascii="宋体" w:hAnsi="宋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实施。</w:t>
      </w:r>
    </w:p>
    <w:p>
      <w:pPr>
        <w:pStyle w:val="13"/>
        <w:numPr>
          <w:ilvl w:val="0"/>
          <w:numId w:val="8"/>
        </w:numPr>
        <w:ind w:firstLineChars="0"/>
        <w:rPr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发布机构</w:t>
      </w:r>
    </w:p>
    <w:p>
      <w:pPr>
        <w:ind w:firstLine="450" w:firstLineChars="150"/>
        <w:rPr>
          <w:color w:val="000000" w:themeColor="text1"/>
          <w:sz w:val="30"/>
          <w:szCs w:val="30"/>
          <w:highlight w:val="lightGray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深圳市标准技术研究院。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rPr>
        <w:lang w:val="zh-CN"/>
      </w:rPr>
      <w:fldChar w:fldCharType="end"/>
    </w: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rPr>
        <w:lang w:val="zh-CN"/>
      </w:rP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lef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SSAE-A12-016:2020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  <w:rPr>
        <w:sz w:val="21"/>
        <w:szCs w:val="21"/>
      </w:rPr>
    </w:pPr>
    <w:r>
      <w:rPr>
        <w:rFonts w:hint="eastAsia"/>
        <w:sz w:val="21"/>
        <w:szCs w:val="21"/>
      </w:rPr>
      <w:t>编号：</w:t>
    </w:r>
    <w:r>
      <w:rPr>
        <w:sz w:val="21"/>
        <w:szCs w:val="21"/>
      </w:rPr>
      <w:t>SSAE-A12-016:2020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t>SSAE-A12-016:2020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806"/>
    <w:multiLevelType w:val="multilevel"/>
    <w:tmpl w:val="01BD6806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A7C590C"/>
    <w:multiLevelType w:val="multilevel"/>
    <w:tmpl w:val="0A7C590C"/>
    <w:lvl w:ilvl="0" w:tentative="0">
      <w:start w:val="1"/>
      <w:numFmt w:val="decimal"/>
      <w:lvlText w:val="%1."/>
      <w:lvlJc w:val="left"/>
      <w:pPr>
        <w:ind w:left="1020" w:hanging="420"/>
      </w:pPr>
      <w:rPr>
        <w:rFonts w:hint="eastAsia" w:cs="Times New Roman"/>
        <w:b w:val="0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2">
    <w:nsid w:val="14A23E3D"/>
    <w:multiLevelType w:val="multilevel"/>
    <w:tmpl w:val="14A23E3D"/>
    <w:lvl w:ilvl="0" w:tentative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 w:tentative="0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3">
    <w:nsid w:val="1C71400C"/>
    <w:multiLevelType w:val="multilevel"/>
    <w:tmpl w:val="1C71400C"/>
    <w:lvl w:ilvl="0" w:tentative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82" w:hanging="420"/>
      </w:pPr>
    </w:lvl>
    <w:lvl w:ilvl="2" w:tentative="0">
      <w:start w:val="1"/>
      <w:numFmt w:val="lowerRoman"/>
      <w:lvlText w:val="%3."/>
      <w:lvlJc w:val="right"/>
      <w:pPr>
        <w:ind w:left="1402" w:hanging="420"/>
      </w:pPr>
    </w:lvl>
    <w:lvl w:ilvl="3" w:tentative="0">
      <w:start w:val="1"/>
      <w:numFmt w:val="decimal"/>
      <w:lvlText w:val="%4."/>
      <w:lvlJc w:val="left"/>
      <w:pPr>
        <w:ind w:left="1822" w:hanging="420"/>
      </w:pPr>
    </w:lvl>
    <w:lvl w:ilvl="4" w:tentative="0">
      <w:start w:val="1"/>
      <w:numFmt w:val="lowerLetter"/>
      <w:lvlText w:val="%5)"/>
      <w:lvlJc w:val="left"/>
      <w:pPr>
        <w:ind w:left="2242" w:hanging="420"/>
      </w:pPr>
    </w:lvl>
    <w:lvl w:ilvl="5" w:tentative="0">
      <w:start w:val="1"/>
      <w:numFmt w:val="lowerRoman"/>
      <w:lvlText w:val="%6."/>
      <w:lvlJc w:val="right"/>
      <w:pPr>
        <w:ind w:left="2662" w:hanging="420"/>
      </w:pPr>
    </w:lvl>
    <w:lvl w:ilvl="6" w:tentative="0">
      <w:start w:val="1"/>
      <w:numFmt w:val="decimal"/>
      <w:lvlText w:val="%7."/>
      <w:lvlJc w:val="left"/>
      <w:pPr>
        <w:ind w:left="3082" w:hanging="420"/>
      </w:pPr>
    </w:lvl>
    <w:lvl w:ilvl="7" w:tentative="0">
      <w:start w:val="1"/>
      <w:numFmt w:val="lowerLetter"/>
      <w:lvlText w:val="%8)"/>
      <w:lvlJc w:val="left"/>
      <w:pPr>
        <w:ind w:left="3502" w:hanging="420"/>
      </w:pPr>
    </w:lvl>
    <w:lvl w:ilvl="8" w:tentative="0">
      <w:start w:val="1"/>
      <w:numFmt w:val="lowerRoman"/>
      <w:lvlText w:val="%9."/>
      <w:lvlJc w:val="right"/>
      <w:pPr>
        <w:ind w:left="3922" w:hanging="420"/>
      </w:pPr>
    </w:lvl>
  </w:abstractNum>
  <w:abstractNum w:abstractNumId="4">
    <w:nsid w:val="243F2CEE"/>
    <w:multiLevelType w:val="multilevel"/>
    <w:tmpl w:val="243F2CEE"/>
    <w:lvl w:ilvl="0" w:tentative="0">
      <w:start w:val="1"/>
      <w:numFmt w:val="chineseCountingThousand"/>
      <w:lvlText w:val="(%1)"/>
      <w:lvlJc w:val="left"/>
      <w:pPr>
        <w:ind w:left="1618" w:hanging="105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5">
    <w:nsid w:val="256A0CB0"/>
    <w:multiLevelType w:val="multilevel"/>
    <w:tmpl w:val="256A0CB0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44C50F90"/>
    <w:multiLevelType w:val="multilevel"/>
    <w:tmpl w:val="44C50F90"/>
    <w:lvl w:ilvl="0" w:tentative="0">
      <w:start w:val="1"/>
      <w:numFmt w:val="lowerLetter"/>
      <w:pStyle w:val="19"/>
      <w:lvlText w:val="%1)"/>
      <w:lvlJc w:val="left"/>
      <w:pPr>
        <w:tabs>
          <w:tab w:val="left" w:pos="840"/>
        </w:tabs>
        <w:ind w:left="839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pStyle w:val="18"/>
      <w:lvlText w:val="%2)"/>
      <w:lvlJc w:val="left"/>
      <w:pPr>
        <w:tabs>
          <w:tab w:val="left" w:pos="1260"/>
        </w:tabs>
        <w:ind w:left="1259" w:hanging="419"/>
      </w:pPr>
      <w:rPr>
        <w:rFonts w:hint="eastAsia"/>
      </w:rPr>
    </w:lvl>
    <w:lvl w:ilvl="2" w:tentative="0">
      <w:start w:val="1"/>
      <w:numFmt w:val="decimal"/>
      <w:pStyle w:val="20"/>
      <w:lvlText w:val="(%3)"/>
      <w:lvlJc w:val="left"/>
      <w:pPr>
        <w:tabs>
          <w:tab w:val="left" w:pos="0"/>
        </w:tabs>
        <w:ind w:left="1679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099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19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39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59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79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199" w:hanging="419"/>
      </w:pPr>
      <w:rPr>
        <w:rFonts w:hint="eastAsia"/>
      </w:rPr>
    </w:lvl>
  </w:abstractNum>
  <w:abstractNum w:abstractNumId="7">
    <w:nsid w:val="5AFD5C42"/>
    <w:multiLevelType w:val="multilevel"/>
    <w:tmpl w:val="5AFD5C42"/>
    <w:lvl w:ilvl="0" w:tentative="0">
      <w:start w:val="1"/>
      <w:numFmt w:val="bullet"/>
      <w:suff w:val="nothing"/>
      <w:lvlText w:val=""/>
      <w:lvlJc w:val="left"/>
      <w:pPr>
        <w:ind w:left="57" w:hanging="57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79"/>
    <w:rsid w:val="00003D79"/>
    <w:rsid w:val="00006FC4"/>
    <w:rsid w:val="00007213"/>
    <w:rsid w:val="00015ABF"/>
    <w:rsid w:val="00021FFC"/>
    <w:rsid w:val="0002358E"/>
    <w:rsid w:val="00027AB1"/>
    <w:rsid w:val="000406B2"/>
    <w:rsid w:val="000408AB"/>
    <w:rsid w:val="00052926"/>
    <w:rsid w:val="00052D2F"/>
    <w:rsid w:val="000550B1"/>
    <w:rsid w:val="00060262"/>
    <w:rsid w:val="00064DC0"/>
    <w:rsid w:val="000654E8"/>
    <w:rsid w:val="00065F91"/>
    <w:rsid w:val="00076893"/>
    <w:rsid w:val="00080EBD"/>
    <w:rsid w:val="000869D7"/>
    <w:rsid w:val="000927B5"/>
    <w:rsid w:val="00094C60"/>
    <w:rsid w:val="00096CE0"/>
    <w:rsid w:val="00097663"/>
    <w:rsid w:val="000A4852"/>
    <w:rsid w:val="000A4E9A"/>
    <w:rsid w:val="000A5EF6"/>
    <w:rsid w:val="000A666F"/>
    <w:rsid w:val="000B3567"/>
    <w:rsid w:val="000B4E6B"/>
    <w:rsid w:val="000C054B"/>
    <w:rsid w:val="000C0BB2"/>
    <w:rsid w:val="000C0BEA"/>
    <w:rsid w:val="000C0E75"/>
    <w:rsid w:val="000C2248"/>
    <w:rsid w:val="000D1045"/>
    <w:rsid w:val="000E2BEA"/>
    <w:rsid w:val="000E7C6A"/>
    <w:rsid w:val="000F50CE"/>
    <w:rsid w:val="000F5ECD"/>
    <w:rsid w:val="001013A1"/>
    <w:rsid w:val="00103545"/>
    <w:rsid w:val="0010544B"/>
    <w:rsid w:val="00112501"/>
    <w:rsid w:val="00113603"/>
    <w:rsid w:val="00116431"/>
    <w:rsid w:val="00117AC1"/>
    <w:rsid w:val="00120FB9"/>
    <w:rsid w:val="0012301B"/>
    <w:rsid w:val="00124792"/>
    <w:rsid w:val="00130C77"/>
    <w:rsid w:val="00134BDC"/>
    <w:rsid w:val="001443E7"/>
    <w:rsid w:val="0015060D"/>
    <w:rsid w:val="00152F5E"/>
    <w:rsid w:val="0015322F"/>
    <w:rsid w:val="001616CC"/>
    <w:rsid w:val="001624BA"/>
    <w:rsid w:val="001625C4"/>
    <w:rsid w:val="00162D9A"/>
    <w:rsid w:val="00163AC7"/>
    <w:rsid w:val="00163FA1"/>
    <w:rsid w:val="00166E6A"/>
    <w:rsid w:val="0017287D"/>
    <w:rsid w:val="001837D3"/>
    <w:rsid w:val="00186123"/>
    <w:rsid w:val="00186D55"/>
    <w:rsid w:val="001874C8"/>
    <w:rsid w:val="00190F1D"/>
    <w:rsid w:val="00194187"/>
    <w:rsid w:val="001A2B3F"/>
    <w:rsid w:val="001A4E92"/>
    <w:rsid w:val="001B4423"/>
    <w:rsid w:val="001B45FF"/>
    <w:rsid w:val="001C5BB8"/>
    <w:rsid w:val="001E1876"/>
    <w:rsid w:val="001F1EE6"/>
    <w:rsid w:val="001F6F68"/>
    <w:rsid w:val="00200830"/>
    <w:rsid w:val="00201694"/>
    <w:rsid w:val="00212D6F"/>
    <w:rsid w:val="00214A8A"/>
    <w:rsid w:val="002201E8"/>
    <w:rsid w:val="0022440C"/>
    <w:rsid w:val="00230E8F"/>
    <w:rsid w:val="00232103"/>
    <w:rsid w:val="002323D1"/>
    <w:rsid w:val="00232D0A"/>
    <w:rsid w:val="00245FB0"/>
    <w:rsid w:val="00246FDF"/>
    <w:rsid w:val="002477BD"/>
    <w:rsid w:val="00252A02"/>
    <w:rsid w:val="00257889"/>
    <w:rsid w:val="0026004F"/>
    <w:rsid w:val="00263E3B"/>
    <w:rsid w:val="00263FA8"/>
    <w:rsid w:val="00265ABD"/>
    <w:rsid w:val="00270BD4"/>
    <w:rsid w:val="002767A1"/>
    <w:rsid w:val="00276E81"/>
    <w:rsid w:val="00283676"/>
    <w:rsid w:val="00283BBC"/>
    <w:rsid w:val="002868D0"/>
    <w:rsid w:val="00286E56"/>
    <w:rsid w:val="002934EB"/>
    <w:rsid w:val="002A3891"/>
    <w:rsid w:val="002B10A1"/>
    <w:rsid w:val="002B1992"/>
    <w:rsid w:val="002B2106"/>
    <w:rsid w:val="002B2940"/>
    <w:rsid w:val="002C3C60"/>
    <w:rsid w:val="002C3CAC"/>
    <w:rsid w:val="002C61C1"/>
    <w:rsid w:val="002D15FC"/>
    <w:rsid w:val="002D36E6"/>
    <w:rsid w:val="002D6881"/>
    <w:rsid w:val="002E2D59"/>
    <w:rsid w:val="002E4FCE"/>
    <w:rsid w:val="002E640B"/>
    <w:rsid w:val="002E7755"/>
    <w:rsid w:val="002F14CC"/>
    <w:rsid w:val="002F33FF"/>
    <w:rsid w:val="003022EE"/>
    <w:rsid w:val="00306F0E"/>
    <w:rsid w:val="00317AF3"/>
    <w:rsid w:val="00342DF2"/>
    <w:rsid w:val="00343780"/>
    <w:rsid w:val="00345008"/>
    <w:rsid w:val="00350AF6"/>
    <w:rsid w:val="003510E6"/>
    <w:rsid w:val="0035319D"/>
    <w:rsid w:val="00354544"/>
    <w:rsid w:val="00354E8D"/>
    <w:rsid w:val="00365754"/>
    <w:rsid w:val="00373233"/>
    <w:rsid w:val="00376C65"/>
    <w:rsid w:val="00381073"/>
    <w:rsid w:val="0039113E"/>
    <w:rsid w:val="003920F5"/>
    <w:rsid w:val="003929F8"/>
    <w:rsid w:val="003A27D2"/>
    <w:rsid w:val="003A3FE0"/>
    <w:rsid w:val="003A5163"/>
    <w:rsid w:val="003A7D4B"/>
    <w:rsid w:val="003B60CE"/>
    <w:rsid w:val="003C2BF6"/>
    <w:rsid w:val="003C3516"/>
    <w:rsid w:val="003C4820"/>
    <w:rsid w:val="003C5E6D"/>
    <w:rsid w:val="003E1301"/>
    <w:rsid w:val="003E4483"/>
    <w:rsid w:val="003E4D2B"/>
    <w:rsid w:val="003F2C2D"/>
    <w:rsid w:val="003F3C16"/>
    <w:rsid w:val="004035D2"/>
    <w:rsid w:val="0040676A"/>
    <w:rsid w:val="00413578"/>
    <w:rsid w:val="004354A2"/>
    <w:rsid w:val="00440822"/>
    <w:rsid w:val="004457F9"/>
    <w:rsid w:val="004474A3"/>
    <w:rsid w:val="00450351"/>
    <w:rsid w:val="00454AE4"/>
    <w:rsid w:val="00454B59"/>
    <w:rsid w:val="004550A0"/>
    <w:rsid w:val="00457546"/>
    <w:rsid w:val="0046457F"/>
    <w:rsid w:val="00470198"/>
    <w:rsid w:val="00471A1C"/>
    <w:rsid w:val="0047462C"/>
    <w:rsid w:val="00477EE3"/>
    <w:rsid w:val="0048163A"/>
    <w:rsid w:val="0048506B"/>
    <w:rsid w:val="00487CB2"/>
    <w:rsid w:val="00492692"/>
    <w:rsid w:val="00492DF5"/>
    <w:rsid w:val="004A2217"/>
    <w:rsid w:val="004A3447"/>
    <w:rsid w:val="004A6C9F"/>
    <w:rsid w:val="004B2F8B"/>
    <w:rsid w:val="004B3725"/>
    <w:rsid w:val="004C4345"/>
    <w:rsid w:val="004C6060"/>
    <w:rsid w:val="004C678C"/>
    <w:rsid w:val="004C713B"/>
    <w:rsid w:val="004D3A2A"/>
    <w:rsid w:val="004D5D98"/>
    <w:rsid w:val="004D5F12"/>
    <w:rsid w:val="004E4F6D"/>
    <w:rsid w:val="004E51A4"/>
    <w:rsid w:val="004F0845"/>
    <w:rsid w:val="004F0D21"/>
    <w:rsid w:val="004F4235"/>
    <w:rsid w:val="0050347D"/>
    <w:rsid w:val="0051261D"/>
    <w:rsid w:val="005143D5"/>
    <w:rsid w:val="00520AA7"/>
    <w:rsid w:val="005211E4"/>
    <w:rsid w:val="00522B05"/>
    <w:rsid w:val="00527A7D"/>
    <w:rsid w:val="00553413"/>
    <w:rsid w:val="0056012D"/>
    <w:rsid w:val="00560C92"/>
    <w:rsid w:val="005616BC"/>
    <w:rsid w:val="00562F4E"/>
    <w:rsid w:val="005659C4"/>
    <w:rsid w:val="005707F5"/>
    <w:rsid w:val="00570894"/>
    <w:rsid w:val="00572505"/>
    <w:rsid w:val="005756DF"/>
    <w:rsid w:val="00575DCD"/>
    <w:rsid w:val="00575E65"/>
    <w:rsid w:val="00577CF2"/>
    <w:rsid w:val="00584283"/>
    <w:rsid w:val="00584F76"/>
    <w:rsid w:val="005A619A"/>
    <w:rsid w:val="005B10BD"/>
    <w:rsid w:val="005B3845"/>
    <w:rsid w:val="005B6C76"/>
    <w:rsid w:val="005C3869"/>
    <w:rsid w:val="005C7ED6"/>
    <w:rsid w:val="005D2B83"/>
    <w:rsid w:val="005D6E60"/>
    <w:rsid w:val="005E0B67"/>
    <w:rsid w:val="005E2690"/>
    <w:rsid w:val="005F2D54"/>
    <w:rsid w:val="005F4170"/>
    <w:rsid w:val="005F4EC9"/>
    <w:rsid w:val="00606698"/>
    <w:rsid w:val="00613F5F"/>
    <w:rsid w:val="006224BC"/>
    <w:rsid w:val="00625B9A"/>
    <w:rsid w:val="00632FE4"/>
    <w:rsid w:val="00637D6E"/>
    <w:rsid w:val="00640BD9"/>
    <w:rsid w:val="006433FB"/>
    <w:rsid w:val="00644E49"/>
    <w:rsid w:val="006529DE"/>
    <w:rsid w:val="0066087F"/>
    <w:rsid w:val="00661155"/>
    <w:rsid w:val="0067371F"/>
    <w:rsid w:val="00674606"/>
    <w:rsid w:val="006749F8"/>
    <w:rsid w:val="00676B1D"/>
    <w:rsid w:val="006817D8"/>
    <w:rsid w:val="00681899"/>
    <w:rsid w:val="00683FE6"/>
    <w:rsid w:val="00695905"/>
    <w:rsid w:val="0069602D"/>
    <w:rsid w:val="006A1451"/>
    <w:rsid w:val="006A512A"/>
    <w:rsid w:val="006B1237"/>
    <w:rsid w:val="006B1379"/>
    <w:rsid w:val="006B365A"/>
    <w:rsid w:val="006B55AB"/>
    <w:rsid w:val="006B72DB"/>
    <w:rsid w:val="006D1D2E"/>
    <w:rsid w:val="006D3D37"/>
    <w:rsid w:val="006D4659"/>
    <w:rsid w:val="006E6E62"/>
    <w:rsid w:val="006F16D0"/>
    <w:rsid w:val="00701583"/>
    <w:rsid w:val="00702E9C"/>
    <w:rsid w:val="007072F3"/>
    <w:rsid w:val="00712ED8"/>
    <w:rsid w:val="00715B34"/>
    <w:rsid w:val="00716FC7"/>
    <w:rsid w:val="00727212"/>
    <w:rsid w:val="00732650"/>
    <w:rsid w:val="0074043B"/>
    <w:rsid w:val="00741978"/>
    <w:rsid w:val="00742B79"/>
    <w:rsid w:val="00742F78"/>
    <w:rsid w:val="007471C1"/>
    <w:rsid w:val="00754F6C"/>
    <w:rsid w:val="00756246"/>
    <w:rsid w:val="00757C26"/>
    <w:rsid w:val="00761C69"/>
    <w:rsid w:val="00764851"/>
    <w:rsid w:val="00775A6E"/>
    <w:rsid w:val="0078007E"/>
    <w:rsid w:val="007A1AA4"/>
    <w:rsid w:val="007A1B35"/>
    <w:rsid w:val="007A2930"/>
    <w:rsid w:val="007A47EC"/>
    <w:rsid w:val="007A7D98"/>
    <w:rsid w:val="007B04B5"/>
    <w:rsid w:val="007B37E6"/>
    <w:rsid w:val="007C2E8A"/>
    <w:rsid w:val="007E0667"/>
    <w:rsid w:val="007E0E0D"/>
    <w:rsid w:val="007E1663"/>
    <w:rsid w:val="007E16BF"/>
    <w:rsid w:val="007E3F5C"/>
    <w:rsid w:val="007E5087"/>
    <w:rsid w:val="007E73F3"/>
    <w:rsid w:val="007F2EF0"/>
    <w:rsid w:val="007F38AF"/>
    <w:rsid w:val="007F56C0"/>
    <w:rsid w:val="007F7704"/>
    <w:rsid w:val="00810475"/>
    <w:rsid w:val="00811521"/>
    <w:rsid w:val="00815EF8"/>
    <w:rsid w:val="00817516"/>
    <w:rsid w:val="00822E3A"/>
    <w:rsid w:val="00824CD3"/>
    <w:rsid w:val="00824FFB"/>
    <w:rsid w:val="00827C37"/>
    <w:rsid w:val="008365A4"/>
    <w:rsid w:val="008557CF"/>
    <w:rsid w:val="008579FF"/>
    <w:rsid w:val="008600C3"/>
    <w:rsid w:val="0086225A"/>
    <w:rsid w:val="008640FA"/>
    <w:rsid w:val="008650F9"/>
    <w:rsid w:val="00865131"/>
    <w:rsid w:val="008714F4"/>
    <w:rsid w:val="00877355"/>
    <w:rsid w:val="008818AA"/>
    <w:rsid w:val="00883719"/>
    <w:rsid w:val="00884B47"/>
    <w:rsid w:val="00887121"/>
    <w:rsid w:val="00895BEA"/>
    <w:rsid w:val="008A4B79"/>
    <w:rsid w:val="008A509F"/>
    <w:rsid w:val="008B1B82"/>
    <w:rsid w:val="008B265C"/>
    <w:rsid w:val="008B7A6B"/>
    <w:rsid w:val="008C65B3"/>
    <w:rsid w:val="008C707B"/>
    <w:rsid w:val="008C7263"/>
    <w:rsid w:val="008D05D8"/>
    <w:rsid w:val="008D1076"/>
    <w:rsid w:val="008D226C"/>
    <w:rsid w:val="008D3588"/>
    <w:rsid w:val="008D727A"/>
    <w:rsid w:val="008E3006"/>
    <w:rsid w:val="008E3C5A"/>
    <w:rsid w:val="008E560F"/>
    <w:rsid w:val="008E6843"/>
    <w:rsid w:val="008F2D01"/>
    <w:rsid w:val="0090171C"/>
    <w:rsid w:val="009043CC"/>
    <w:rsid w:val="009048A2"/>
    <w:rsid w:val="00904C50"/>
    <w:rsid w:val="00913D56"/>
    <w:rsid w:val="00926B79"/>
    <w:rsid w:val="00926D44"/>
    <w:rsid w:val="009512A8"/>
    <w:rsid w:val="0095485E"/>
    <w:rsid w:val="00956A4D"/>
    <w:rsid w:val="00956C0D"/>
    <w:rsid w:val="00956F56"/>
    <w:rsid w:val="00961126"/>
    <w:rsid w:val="00964522"/>
    <w:rsid w:val="009670B5"/>
    <w:rsid w:val="00984B57"/>
    <w:rsid w:val="00984FD4"/>
    <w:rsid w:val="00984FF8"/>
    <w:rsid w:val="009859C8"/>
    <w:rsid w:val="0098621A"/>
    <w:rsid w:val="0098697C"/>
    <w:rsid w:val="009A7970"/>
    <w:rsid w:val="009B3470"/>
    <w:rsid w:val="009B75BC"/>
    <w:rsid w:val="009B7750"/>
    <w:rsid w:val="009C5B4D"/>
    <w:rsid w:val="009C7634"/>
    <w:rsid w:val="009D1FA6"/>
    <w:rsid w:val="009D5672"/>
    <w:rsid w:val="009E0C82"/>
    <w:rsid w:val="009E4198"/>
    <w:rsid w:val="009F1BBB"/>
    <w:rsid w:val="009F4101"/>
    <w:rsid w:val="00A0003A"/>
    <w:rsid w:val="00A00AF5"/>
    <w:rsid w:val="00A037C5"/>
    <w:rsid w:val="00A0466D"/>
    <w:rsid w:val="00A04CAD"/>
    <w:rsid w:val="00A05C73"/>
    <w:rsid w:val="00A105FA"/>
    <w:rsid w:val="00A12D64"/>
    <w:rsid w:val="00A1740C"/>
    <w:rsid w:val="00A208A6"/>
    <w:rsid w:val="00A26DF9"/>
    <w:rsid w:val="00A313D1"/>
    <w:rsid w:val="00A45776"/>
    <w:rsid w:val="00A45BBB"/>
    <w:rsid w:val="00A50C54"/>
    <w:rsid w:val="00A62141"/>
    <w:rsid w:val="00A7588B"/>
    <w:rsid w:val="00A7602F"/>
    <w:rsid w:val="00A775EB"/>
    <w:rsid w:val="00A77A9C"/>
    <w:rsid w:val="00A8290A"/>
    <w:rsid w:val="00A83A3F"/>
    <w:rsid w:val="00A860BD"/>
    <w:rsid w:val="00A8788D"/>
    <w:rsid w:val="00A87AC0"/>
    <w:rsid w:val="00A91699"/>
    <w:rsid w:val="00A95ADF"/>
    <w:rsid w:val="00A965F3"/>
    <w:rsid w:val="00A97674"/>
    <w:rsid w:val="00AA1E46"/>
    <w:rsid w:val="00AA4759"/>
    <w:rsid w:val="00AA51BF"/>
    <w:rsid w:val="00AB7DB7"/>
    <w:rsid w:val="00AC067D"/>
    <w:rsid w:val="00AC142B"/>
    <w:rsid w:val="00AC4A64"/>
    <w:rsid w:val="00AC4CBE"/>
    <w:rsid w:val="00AC5A7C"/>
    <w:rsid w:val="00AC7D7F"/>
    <w:rsid w:val="00AD5119"/>
    <w:rsid w:val="00AE1ABF"/>
    <w:rsid w:val="00AF0B13"/>
    <w:rsid w:val="00AF1FD8"/>
    <w:rsid w:val="00AF501E"/>
    <w:rsid w:val="00AF5B58"/>
    <w:rsid w:val="00AF67F8"/>
    <w:rsid w:val="00B06AF4"/>
    <w:rsid w:val="00B2185D"/>
    <w:rsid w:val="00B22C6B"/>
    <w:rsid w:val="00B31F4E"/>
    <w:rsid w:val="00B3689C"/>
    <w:rsid w:val="00B53782"/>
    <w:rsid w:val="00B54D64"/>
    <w:rsid w:val="00B57C40"/>
    <w:rsid w:val="00B71B0E"/>
    <w:rsid w:val="00B75DF9"/>
    <w:rsid w:val="00B81C16"/>
    <w:rsid w:val="00B82105"/>
    <w:rsid w:val="00B8231E"/>
    <w:rsid w:val="00B838AC"/>
    <w:rsid w:val="00B85AA6"/>
    <w:rsid w:val="00BB038D"/>
    <w:rsid w:val="00BB5304"/>
    <w:rsid w:val="00BC0BD4"/>
    <w:rsid w:val="00BC0C8A"/>
    <w:rsid w:val="00BC47DC"/>
    <w:rsid w:val="00BC7279"/>
    <w:rsid w:val="00BD58ED"/>
    <w:rsid w:val="00BE289E"/>
    <w:rsid w:val="00BE2F46"/>
    <w:rsid w:val="00BF5C13"/>
    <w:rsid w:val="00C0377E"/>
    <w:rsid w:val="00C12615"/>
    <w:rsid w:val="00C131FD"/>
    <w:rsid w:val="00C216FC"/>
    <w:rsid w:val="00C2399E"/>
    <w:rsid w:val="00C25C67"/>
    <w:rsid w:val="00C33EA8"/>
    <w:rsid w:val="00C345FD"/>
    <w:rsid w:val="00C351BF"/>
    <w:rsid w:val="00C37AB3"/>
    <w:rsid w:val="00C56A14"/>
    <w:rsid w:val="00C60AB4"/>
    <w:rsid w:val="00C67C11"/>
    <w:rsid w:val="00C74A48"/>
    <w:rsid w:val="00C74BD8"/>
    <w:rsid w:val="00C75EFF"/>
    <w:rsid w:val="00C76416"/>
    <w:rsid w:val="00C77C96"/>
    <w:rsid w:val="00C801D7"/>
    <w:rsid w:val="00C8051D"/>
    <w:rsid w:val="00C80F7A"/>
    <w:rsid w:val="00C87043"/>
    <w:rsid w:val="00C879C1"/>
    <w:rsid w:val="00C90881"/>
    <w:rsid w:val="00C95B44"/>
    <w:rsid w:val="00CA009E"/>
    <w:rsid w:val="00CA3DF6"/>
    <w:rsid w:val="00CB7D0D"/>
    <w:rsid w:val="00CC4517"/>
    <w:rsid w:val="00CD3ED3"/>
    <w:rsid w:val="00CE111B"/>
    <w:rsid w:val="00CE40F2"/>
    <w:rsid w:val="00CF10D0"/>
    <w:rsid w:val="00CF31CF"/>
    <w:rsid w:val="00CF3CF3"/>
    <w:rsid w:val="00CF7C9C"/>
    <w:rsid w:val="00D00E8E"/>
    <w:rsid w:val="00D167EC"/>
    <w:rsid w:val="00D21B09"/>
    <w:rsid w:val="00D224F1"/>
    <w:rsid w:val="00D226D7"/>
    <w:rsid w:val="00D26306"/>
    <w:rsid w:val="00D33A65"/>
    <w:rsid w:val="00D374C3"/>
    <w:rsid w:val="00D378F4"/>
    <w:rsid w:val="00D429F9"/>
    <w:rsid w:val="00D43BFC"/>
    <w:rsid w:val="00D46DA0"/>
    <w:rsid w:val="00D55CEA"/>
    <w:rsid w:val="00D55DFC"/>
    <w:rsid w:val="00D613F2"/>
    <w:rsid w:val="00D62107"/>
    <w:rsid w:val="00D62659"/>
    <w:rsid w:val="00D64959"/>
    <w:rsid w:val="00D65AA5"/>
    <w:rsid w:val="00D73ED4"/>
    <w:rsid w:val="00D909A1"/>
    <w:rsid w:val="00DA252D"/>
    <w:rsid w:val="00DB6414"/>
    <w:rsid w:val="00DD3819"/>
    <w:rsid w:val="00DD4DB9"/>
    <w:rsid w:val="00DD50E2"/>
    <w:rsid w:val="00DD7B6A"/>
    <w:rsid w:val="00DE1B7E"/>
    <w:rsid w:val="00DE3EDD"/>
    <w:rsid w:val="00DF10B1"/>
    <w:rsid w:val="00DF11C7"/>
    <w:rsid w:val="00DF7B93"/>
    <w:rsid w:val="00E00C5F"/>
    <w:rsid w:val="00E020D2"/>
    <w:rsid w:val="00E0634C"/>
    <w:rsid w:val="00E26027"/>
    <w:rsid w:val="00E27697"/>
    <w:rsid w:val="00E3382C"/>
    <w:rsid w:val="00E34BA4"/>
    <w:rsid w:val="00E3586E"/>
    <w:rsid w:val="00E36CD8"/>
    <w:rsid w:val="00E43D04"/>
    <w:rsid w:val="00E6017E"/>
    <w:rsid w:val="00E71C15"/>
    <w:rsid w:val="00E754EF"/>
    <w:rsid w:val="00E809A6"/>
    <w:rsid w:val="00E831D9"/>
    <w:rsid w:val="00E83DC7"/>
    <w:rsid w:val="00E846A6"/>
    <w:rsid w:val="00E85E02"/>
    <w:rsid w:val="00E87420"/>
    <w:rsid w:val="00E879E8"/>
    <w:rsid w:val="00E901D5"/>
    <w:rsid w:val="00E971F2"/>
    <w:rsid w:val="00EA0A92"/>
    <w:rsid w:val="00EA59F8"/>
    <w:rsid w:val="00EA6C2C"/>
    <w:rsid w:val="00EB1F66"/>
    <w:rsid w:val="00EB67DA"/>
    <w:rsid w:val="00EC6D67"/>
    <w:rsid w:val="00EC7CDE"/>
    <w:rsid w:val="00ED49C0"/>
    <w:rsid w:val="00ED7471"/>
    <w:rsid w:val="00EE0A22"/>
    <w:rsid w:val="00EE0EAE"/>
    <w:rsid w:val="00EF2543"/>
    <w:rsid w:val="00EF3FB5"/>
    <w:rsid w:val="00EF65D1"/>
    <w:rsid w:val="00F003BD"/>
    <w:rsid w:val="00F07ADE"/>
    <w:rsid w:val="00F10E5C"/>
    <w:rsid w:val="00F14C37"/>
    <w:rsid w:val="00F16259"/>
    <w:rsid w:val="00F1640B"/>
    <w:rsid w:val="00F23E1F"/>
    <w:rsid w:val="00F23FF2"/>
    <w:rsid w:val="00F259B5"/>
    <w:rsid w:val="00F33150"/>
    <w:rsid w:val="00F33F44"/>
    <w:rsid w:val="00F341EB"/>
    <w:rsid w:val="00F40027"/>
    <w:rsid w:val="00F405BC"/>
    <w:rsid w:val="00F40AB6"/>
    <w:rsid w:val="00F416C8"/>
    <w:rsid w:val="00F43FDB"/>
    <w:rsid w:val="00F5277D"/>
    <w:rsid w:val="00F53EB6"/>
    <w:rsid w:val="00F60A2E"/>
    <w:rsid w:val="00F618F4"/>
    <w:rsid w:val="00F64A14"/>
    <w:rsid w:val="00F67AC6"/>
    <w:rsid w:val="00F71138"/>
    <w:rsid w:val="00F71BB4"/>
    <w:rsid w:val="00F7394B"/>
    <w:rsid w:val="00F768DD"/>
    <w:rsid w:val="00F77C02"/>
    <w:rsid w:val="00F8297B"/>
    <w:rsid w:val="00F83671"/>
    <w:rsid w:val="00F8410E"/>
    <w:rsid w:val="00F85EDE"/>
    <w:rsid w:val="00F921AE"/>
    <w:rsid w:val="00F97EF6"/>
    <w:rsid w:val="00FA7EC7"/>
    <w:rsid w:val="00FB1DA3"/>
    <w:rsid w:val="00FB22A5"/>
    <w:rsid w:val="00FB42D4"/>
    <w:rsid w:val="00FB7660"/>
    <w:rsid w:val="00FC188B"/>
    <w:rsid w:val="00FD444F"/>
    <w:rsid w:val="00FF11CB"/>
    <w:rsid w:val="19F227B2"/>
    <w:rsid w:val="46DD09A7"/>
    <w:rsid w:val="761B5A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Plain Text"/>
    <w:basedOn w:val="1"/>
    <w:link w:val="17"/>
    <w:uiPriority w:val="0"/>
    <w:rPr>
      <w:rFonts w:ascii="宋体" w:hAnsi="Courier New"/>
      <w:szCs w:val="20"/>
    </w:rPr>
  </w:style>
  <w:style w:type="paragraph" w:styleId="4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列出段落2"/>
    <w:basedOn w:val="1"/>
    <w:qFormat/>
    <w:uiPriority w:val="34"/>
    <w:pPr>
      <w:ind w:firstLine="420" w:firstLineChars="200"/>
    </w:pPr>
  </w:style>
  <w:style w:type="character" w:customStyle="1" w:styleId="16">
    <w:name w:val="apple-converted-space"/>
    <w:basedOn w:val="9"/>
    <w:qFormat/>
    <w:uiPriority w:val="0"/>
  </w:style>
  <w:style w:type="character" w:customStyle="1" w:styleId="17">
    <w:name w:val="纯文本 Char"/>
    <w:basedOn w:val="9"/>
    <w:link w:val="3"/>
    <w:uiPriority w:val="0"/>
    <w:rPr>
      <w:rFonts w:ascii="宋体" w:hAnsi="Courier New" w:eastAsia="宋体" w:cs="Times New Roman"/>
      <w:kern w:val="2"/>
      <w:sz w:val="21"/>
    </w:rPr>
  </w:style>
  <w:style w:type="paragraph" w:customStyle="1" w:styleId="18">
    <w:name w:val="数字编号列项（二级）"/>
    <w:qFormat/>
    <w:uiPriority w:val="99"/>
    <w:pPr>
      <w:numPr>
        <w:ilvl w:val="1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字母编号列项（一级）"/>
    <w:uiPriority w:val="99"/>
    <w:pPr>
      <w:numPr>
        <w:ilvl w:val="0"/>
        <w:numId w:val="1"/>
      </w:numPr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0">
    <w:name w:val="编号列项（三级）"/>
    <w:uiPriority w:val="99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1">
    <w:name w:val="段"/>
    <w:basedOn w:val="1"/>
    <w:link w:val="22"/>
    <w:qFormat/>
    <w:uiPriority w:val="0"/>
    <w:pPr>
      <w:ind w:firstLine="425"/>
    </w:pPr>
    <w:rPr>
      <w:rFonts w:ascii="宋体" w:hAnsi="Times New Roman"/>
      <w:szCs w:val="20"/>
    </w:rPr>
  </w:style>
  <w:style w:type="character" w:customStyle="1" w:styleId="22">
    <w:name w:val="段 Char"/>
    <w:basedOn w:val="9"/>
    <w:link w:val="21"/>
    <w:qFormat/>
    <w:uiPriority w:val="0"/>
    <w:rPr>
      <w:rFonts w:ascii="宋体" w:hAnsi="Times New Roman" w:eastAsia="宋体" w:cs="Times New Roman"/>
      <w:kern w:val="2"/>
      <w:sz w:val="21"/>
    </w:rPr>
  </w:style>
  <w:style w:type="paragraph" w:styleId="23">
    <w:name w:val="List Paragraph"/>
    <w:basedOn w:val="1"/>
    <w:uiPriority w:val="99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emf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Chinese ORG</Company>
  <Pages>8</Pages>
  <Words>548</Words>
  <Characters>3125</Characters>
  <Lines>26</Lines>
  <Paragraphs>7</Paragraphs>
  <TotalTime>18</TotalTime>
  <ScaleCrop>false</ScaleCrop>
  <LinksUpToDate>false</LinksUpToDate>
  <CharactersWithSpaces>3666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2020-08-14T07:14:00Z</dcterms:created>
  <dc:creator>王丽娟</dc:creator>
  <cp:lastModifiedBy>周云鹏</cp:lastModifiedBy>
  <cp:lastPrinted>2019-12-17T09:31:00Z</cp:lastPrinted>
  <dcterms:modified xsi:type="dcterms:W3CDTF">2020-08-18T07:18:56Z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