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80" w:lineRule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附件4</w:t>
      </w:r>
    </w:p>
    <w:p>
      <w:pPr>
        <w:snapToGrid w:val="0"/>
        <w:spacing w:line="600" w:lineRule="exact"/>
        <w:jc w:val="center"/>
        <w:rPr>
          <w:rFonts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2020年深圳市药品安全监管培训</w:t>
      </w:r>
    </w:p>
    <w:p>
      <w:pPr>
        <w:snapToGrid w:val="0"/>
        <w:spacing w:line="600" w:lineRule="exact"/>
        <w:jc w:val="center"/>
        <w:rPr>
          <w:rFonts w:hint="eastAsia"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在线观看操作流程</w:t>
      </w:r>
    </w:p>
    <w:p>
      <w:pPr>
        <w:jc w:val="center"/>
        <w:rPr>
          <w:rStyle w:val="5"/>
          <w:rFonts w:hint="eastAsia" w:ascii="仿宋" w:hAnsi="仿宋" w:eastAsia="仿宋"/>
          <w:b/>
          <w:bCs/>
        </w:rPr>
      </w:pPr>
    </w:p>
    <w:p>
      <w:pPr>
        <w:jc w:val="left"/>
        <w:rPr>
          <w:rFonts w:ascii="仿宋" w:hAnsi="仿宋" w:eastAsia="仿宋"/>
          <w:color w:val="000000"/>
          <w:sz w:val="32"/>
          <w:szCs w:val="32"/>
        </w:rPr>
      </w:pPr>
    </w:p>
    <w:p>
      <w:pPr>
        <w:jc w:val="left"/>
        <w:rPr>
          <w:rFonts w:hint="eastAsia" w:ascii="仿宋" w:hAnsi="仿宋" w:eastAsia="仿宋"/>
          <w:color w:val="000000"/>
          <w:sz w:val="32"/>
          <w:szCs w:val="32"/>
        </w:rPr>
      </w:pPr>
      <w:bookmarkStart w:id="0" w:name="_GoBack"/>
      <w:r>
        <w:rPr>
          <w:rFonts w:ascii="仿宋" w:hAnsi="仿宋" w:eastAsia="仿宋"/>
          <w:color w:val="000000"/>
          <w:sz w:val="32"/>
          <w:szCs w:val="32"/>
        </w:rPr>
        <w:t>方式一： 登陆</w:t>
      </w:r>
      <w:r>
        <w:rPr>
          <w:rFonts w:hint="eastAsia" w:ascii="仿宋" w:hAnsi="仿宋" w:eastAsia="仿宋"/>
          <w:color w:val="000000"/>
          <w:sz w:val="32"/>
          <w:szCs w:val="32"/>
        </w:rPr>
        <w:t>网址，报名登记后</w:t>
      </w:r>
      <w:r>
        <w:rPr>
          <w:rFonts w:ascii="仿宋" w:hAnsi="仿宋" w:eastAsia="仿宋"/>
          <w:color w:val="000000"/>
          <w:sz w:val="32"/>
          <w:szCs w:val="32"/>
        </w:rPr>
        <w:t>即可直接观看</w:t>
      </w:r>
      <w:r>
        <w:rPr>
          <w:rFonts w:hint="eastAsia" w:ascii="仿宋" w:hAnsi="仿宋" w:eastAsia="仿宋"/>
          <w:color w:val="000000"/>
          <w:sz w:val="32"/>
          <w:szCs w:val="32"/>
        </w:rPr>
        <w:t>。</w:t>
      </w:r>
      <w:bookmarkEnd w:id="0"/>
      <w:r>
        <w:rPr>
          <w:rStyle w:val="4"/>
          <w:rFonts w:hint="eastAsia" w:ascii="仿宋" w:hAnsi="仿宋" w:eastAsia="仿宋"/>
          <w:sz w:val="32"/>
          <w:szCs w:val="32"/>
        </w:rPr>
        <w:t>https://m.inmuu.com/v1/live/news/603417/intro</w:t>
      </w:r>
    </w:p>
    <w:p>
      <w:pPr>
        <w:jc w:val="left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方式二： 扫描二维码</w:t>
      </w:r>
      <w:r>
        <w:rPr>
          <w:rFonts w:hint="eastAsia" w:ascii="仿宋" w:hAnsi="仿宋" w:eastAsia="仿宋"/>
          <w:color w:val="000000"/>
          <w:sz w:val="32"/>
          <w:szCs w:val="32"/>
        </w:rPr>
        <w:t>，报名登记后</w:t>
      </w:r>
      <w:r>
        <w:rPr>
          <w:rFonts w:ascii="仿宋" w:hAnsi="仿宋" w:eastAsia="仿宋"/>
          <w:color w:val="000000"/>
          <w:sz w:val="32"/>
          <w:szCs w:val="32"/>
        </w:rPr>
        <w:t>即可直接观看。</w:t>
      </w:r>
    </w:p>
    <w:p>
      <w:pPr>
        <w:snapToGrid w:val="0"/>
        <w:spacing w:line="600" w:lineRule="exact"/>
        <w:ind w:firstLine="420" w:firstLineChars="200"/>
        <w:rPr>
          <w:rFonts w:ascii="仿宋_GB2312" w:eastAsia="仿宋_GB2312"/>
          <w:sz w:val="32"/>
          <w:szCs w:val="32"/>
        </w:rPr>
      </w:pPr>
      <w:r>
        <w:rPr>
          <w:rFonts w:hint="eastAsi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681355</wp:posOffset>
            </wp:positionH>
            <wp:positionV relativeFrom="paragraph">
              <wp:posOffset>266700</wp:posOffset>
            </wp:positionV>
            <wp:extent cx="2550160" cy="2314575"/>
            <wp:effectExtent l="0" t="0" r="2540" b="9525"/>
            <wp:wrapNone/>
            <wp:docPr id="1" name="图片 1" descr="4863daf5b1136df06afd558f407fad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863daf5b1136df06afd558f407fad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50160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/>
    <w:p>
      <w:pPr>
        <w:snapToGrid w:val="0"/>
        <w:spacing w:line="240" w:lineRule="atLeast"/>
        <w:rPr>
          <w:rFonts w:hint="eastAsia"/>
        </w:rPr>
      </w:pPr>
    </w:p>
    <w:p>
      <w:pPr>
        <w:snapToGrid w:val="0"/>
        <w:spacing w:line="240" w:lineRule="atLeast"/>
        <w:rPr>
          <w:rFonts w:hint="eastAsia"/>
        </w:rPr>
      </w:pPr>
    </w:p>
    <w:p>
      <w:pPr>
        <w:snapToGrid w:val="0"/>
        <w:spacing w:line="240" w:lineRule="atLeast"/>
        <w:rPr>
          <w:rFonts w:hint="eastAsia"/>
        </w:rPr>
      </w:pPr>
    </w:p>
    <w:p>
      <w:pPr>
        <w:snapToGrid w:val="0"/>
        <w:spacing w:line="240" w:lineRule="atLeast"/>
        <w:rPr>
          <w:rFonts w:hint="eastAsia"/>
        </w:rPr>
      </w:pPr>
    </w:p>
    <w:p>
      <w:pPr>
        <w:snapToGrid w:val="0"/>
        <w:spacing w:line="240" w:lineRule="atLeast"/>
        <w:rPr>
          <w:rFonts w:hint="eastAsia"/>
        </w:rPr>
      </w:pPr>
    </w:p>
    <w:p>
      <w:pPr>
        <w:snapToGrid w:val="0"/>
        <w:spacing w:line="240" w:lineRule="atLeast"/>
        <w:rPr>
          <w:rFonts w:hint="eastAsia"/>
        </w:rPr>
      </w:pPr>
    </w:p>
    <w:p>
      <w:pPr>
        <w:snapToGrid w:val="0"/>
        <w:spacing w:line="240" w:lineRule="atLeast"/>
        <w:rPr>
          <w:rFonts w:hint="eastAsia"/>
        </w:rPr>
      </w:pPr>
    </w:p>
    <w:p>
      <w:pPr>
        <w:snapToGrid w:val="0"/>
        <w:spacing w:line="240" w:lineRule="atLeast"/>
        <w:rPr>
          <w:rFonts w:hint="eastAsia"/>
        </w:rPr>
      </w:pPr>
    </w:p>
    <w:p>
      <w:pPr>
        <w:snapToGrid w:val="0"/>
        <w:spacing w:line="240" w:lineRule="atLeast"/>
        <w:rPr>
          <w:rFonts w:hint="eastAsia"/>
        </w:rPr>
      </w:pPr>
    </w:p>
    <w:p>
      <w:pPr>
        <w:snapToGrid w:val="0"/>
        <w:spacing w:line="240" w:lineRule="atLeast"/>
        <w:rPr>
          <w:rFonts w:hint="eastAsia"/>
        </w:rPr>
      </w:pPr>
    </w:p>
    <w:p>
      <w:pPr>
        <w:snapToGrid w:val="0"/>
        <w:spacing w:line="240" w:lineRule="atLeast"/>
        <w:rPr>
          <w:rFonts w:hint="eastAsia"/>
        </w:rPr>
      </w:pPr>
    </w:p>
    <w:p>
      <w:pPr>
        <w:snapToGrid w:val="0"/>
        <w:spacing w:line="240" w:lineRule="atLeast"/>
        <w:rPr>
          <w:rFonts w:hint="eastAsia"/>
        </w:rPr>
      </w:pPr>
    </w:p>
    <w:p>
      <w:pPr>
        <w:snapToGrid w:val="0"/>
        <w:spacing w:line="240" w:lineRule="atLeast"/>
        <w:rPr>
          <w:rFonts w:hint="eastAsia"/>
        </w:rPr>
      </w:pPr>
    </w:p>
    <w:p>
      <w:pPr>
        <w:snapToGrid w:val="0"/>
        <w:spacing w:line="240" w:lineRule="atLeast"/>
        <w:rPr>
          <w:rFonts w:hint="eastAsia"/>
        </w:rPr>
      </w:pPr>
    </w:p>
    <w:p>
      <w:pPr>
        <w:snapToGrid w:val="0"/>
        <w:spacing w:line="240" w:lineRule="atLeast"/>
        <w:rPr>
          <w:rFonts w:hint="eastAsia"/>
        </w:rPr>
      </w:pPr>
    </w:p>
    <w:p>
      <w:pPr>
        <w:snapToGrid w:val="0"/>
        <w:spacing w:line="240" w:lineRule="atLeast"/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ZXBSK--GBK1-0">
    <w:altName w:val="Cambria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000737"/>
    <w:rsid w:val="37000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qFormat/>
    <w:uiPriority w:val="99"/>
    <w:rPr>
      <w:color w:val="2440B3"/>
      <w:u w:val="single"/>
    </w:rPr>
  </w:style>
  <w:style w:type="character" w:customStyle="1" w:styleId="5">
    <w:name w:val="fontstyle01"/>
    <w:basedOn w:val="3"/>
    <w:qFormat/>
    <w:uiPriority w:val="0"/>
    <w:rPr>
      <w:rFonts w:hint="default" w:ascii="FZXBSK--GBK1-0" w:hAnsi="FZXBSK--GBK1-0"/>
      <w:color w:val="000000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2020-09-21T09:26:00Z</dcterms:created>
  <dc:creator>徐静</dc:creator>
  <cp:lastModifiedBy>徐静</cp:lastModifiedBy>
  <dcterms:modified xsi:type="dcterms:W3CDTF">2020-09-21T09:27:25Z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