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      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研发总裁专利素养高级培训班议程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时间：2020年10月16日星期五9:00—17:00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地点：深圳市福田区万德诺富特酒店二楼会议室</w:t>
      </w:r>
    </w:p>
    <w:tbl>
      <w:tblPr>
        <w:tblStyle w:val="3"/>
        <w:tblW w:w="895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72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6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6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9:00</w:t>
            </w:r>
            <w:r>
              <w:rPr>
                <w:rFonts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会议签到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65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9:30-11:45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9:30-10:30议题1：（1）专利是一种合法的垄断权；（2）专利是研发创新的核心成果；（3）专利具有多元商业价值；（4）未来中国专利保护力度大大加强；</w:t>
            </w:r>
          </w:p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讲者：贾振勇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10:30-10:45茶歇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10:45-11:45议题2：（1）．专利侵权判断；（2）．专利规避设计；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11:45-12:00问答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12:00-13:00 午餐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65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13:30-17:00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13:30-14:30议题1： （3）．专利挖掘技能；（4）．专利保护布局；（5）．专利质量控制；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:30-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:45茶歇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14:</w:t>
            </w:r>
            <w:r>
              <w:rPr>
                <w:rFonts w:ascii="仿宋" w:hAnsi="仿宋" w:eastAsia="仿宋"/>
                <w:sz w:val="24"/>
              </w:rPr>
              <w:t>45</w:t>
            </w:r>
            <w:r>
              <w:rPr>
                <w:rFonts w:hint="eastAsia" w:ascii="仿宋" w:hAnsi="仿宋" w:eastAsia="仿宋"/>
                <w:sz w:val="24"/>
              </w:rPr>
              <w:t>-15:4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议题2：（1）站得高-从战略角度看待专利；（2）立得定-从效益角度配置专利；（3）走得顺-从机制角度运行专利；（4）省得巧-从情报角度利用专利；（5）睡得着-从风险角度控制专利。 </w:t>
            </w:r>
          </w:p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讲者：贾振勇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15:4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-16:40案例实操训练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99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16:40-17:00 问答和总结致辞</w:t>
            </w:r>
          </w:p>
        </w:tc>
      </w:tr>
    </w:tbl>
    <w:p>
      <w:pPr>
        <w:rPr>
          <w:rFonts w:hint="eastAsia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theme="minorBidi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2020-10-12T07:50:11Z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