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pacing w:val="10"/>
          <w:sz w:val="32"/>
          <w:szCs w:val="32"/>
          <w:lang w:eastAsia="zh-CN"/>
        </w:rPr>
      </w:pPr>
      <w:r>
        <w:rPr>
          <w:rFonts w:hint="eastAsia" w:ascii="黑体" w:hAnsi="黑体" w:eastAsia="黑体"/>
          <w:spacing w:val="10"/>
          <w:sz w:val="32"/>
          <w:szCs w:val="32"/>
        </w:rPr>
        <w:t>附件</w:t>
      </w:r>
      <w:r>
        <w:rPr>
          <w:rFonts w:hint="eastAsia" w:ascii="黑体" w:hAnsi="黑体" w:eastAsia="黑体"/>
          <w:spacing w:val="1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小标宋简体" w:hAnsi="方正小标宋简体" w:eastAsia="方正小标宋简体" w:cs="方正小标宋简体"/>
          <w:b w:val="0"/>
          <w:bCs w:val="0"/>
          <w:spacing w:val="10"/>
          <w:sz w:val="44"/>
          <w:szCs w:val="44"/>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cs="黑体"/>
          <w:b/>
          <w:bCs/>
          <w:spacing w:val="10"/>
          <w:sz w:val="44"/>
          <w:szCs w:val="44"/>
        </w:rPr>
      </w:pPr>
      <w:r>
        <w:rPr>
          <w:rFonts w:hint="eastAsia" w:ascii="华文中宋" w:hAnsi="华文中宋" w:eastAsia="华文中宋" w:cs="黑体"/>
          <w:b/>
          <w:bCs/>
          <w:spacing w:val="10"/>
          <w:sz w:val="44"/>
          <w:szCs w:val="44"/>
        </w:rPr>
        <w:t>深圳市知识产权运营基金管理办法</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cs="黑体"/>
          <w:b/>
          <w:bCs/>
          <w:spacing w:val="10"/>
          <w:sz w:val="44"/>
          <w:szCs w:val="44"/>
        </w:rPr>
      </w:pPr>
      <w:r>
        <w:rPr>
          <w:rFonts w:hint="eastAsia" w:ascii="华文中宋" w:hAnsi="华文中宋" w:eastAsia="华文中宋" w:cs="黑体"/>
          <w:b/>
          <w:bCs/>
          <w:spacing w:val="10"/>
          <w:sz w:val="44"/>
          <w:szCs w:val="44"/>
        </w:rPr>
        <w:t>（试行）</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黑体" w:hAnsi="黑体" w:eastAsia="黑体"/>
          <w:spacing w:val="10"/>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仿宋_GB2312" w:hAnsi="宋体" w:eastAsia="仿宋_GB2312"/>
          <w:spacing w:val="10"/>
          <w:sz w:val="32"/>
          <w:szCs w:val="32"/>
        </w:rPr>
      </w:pPr>
      <w:r>
        <w:rPr>
          <w:rFonts w:hint="eastAsia" w:ascii="黑体" w:hAnsi="黑体" w:eastAsia="黑体"/>
          <w:spacing w:val="10"/>
          <w:sz w:val="32"/>
          <w:szCs w:val="32"/>
        </w:rPr>
        <w:t>第一章 总则</w:t>
      </w:r>
    </w:p>
    <w:p>
      <w:pPr>
        <w:keepNext w:val="0"/>
        <w:keepLines w:val="0"/>
        <w:pageBreakBefore w:val="0"/>
        <w:widowControl w:val="0"/>
        <w:kinsoku/>
        <w:wordWrap/>
        <w:overflowPunct/>
        <w:topLinePunct w:val="0"/>
        <w:autoSpaceDE/>
        <w:autoSpaceDN/>
        <w:bidi w:val="0"/>
        <w:adjustRightInd/>
        <w:snapToGrid/>
        <w:spacing w:line="579" w:lineRule="exact"/>
        <w:ind w:firstLine="612" w:firstLineChars="180"/>
        <w:jc w:val="both"/>
        <w:textAlignment w:val="auto"/>
        <w:rPr>
          <w:rFonts w:ascii="仿宋_GB2312" w:hAnsi="宋体" w:eastAsia="仿宋_GB2312"/>
          <w:spacing w:val="10"/>
          <w:sz w:val="32"/>
          <w:szCs w:val="32"/>
        </w:rPr>
      </w:pPr>
      <w:r>
        <w:rPr>
          <w:rFonts w:hint="eastAsia" w:ascii="仿宋_GB2312" w:hAnsi="宋体" w:eastAsia="仿宋_GB2312"/>
          <w:spacing w:val="10"/>
          <w:sz w:val="32"/>
          <w:szCs w:val="32"/>
        </w:rPr>
        <w:t>第一条 为发挥财政资金的杠杆作用，加快深圳市知识产权运营服务体系建设，着力构建知识产权运营与金融服务生态体系，助力产业转型升级与经济社会创新发展，根据《政府投资基金暂行管理办法》（财预〔2015〕210号）</w:t>
      </w:r>
      <w:r>
        <w:rPr>
          <w:rFonts w:ascii="仿宋_GB2312" w:hAnsi="宋体" w:eastAsia="仿宋_GB2312"/>
          <w:spacing w:val="10"/>
          <w:sz w:val="32"/>
          <w:szCs w:val="32"/>
        </w:rPr>
        <w:t>《</w:t>
      </w:r>
      <w:r>
        <w:rPr>
          <w:rFonts w:hint="eastAsia" w:ascii="仿宋_GB2312" w:hAnsi="宋体" w:eastAsia="仿宋_GB2312"/>
          <w:spacing w:val="10"/>
          <w:sz w:val="32"/>
          <w:szCs w:val="32"/>
        </w:rPr>
        <w:t>关于加强政府投资基金管理 提高财政出资效益的通知</w:t>
      </w:r>
      <w:r>
        <w:rPr>
          <w:rFonts w:ascii="仿宋_GB2312" w:hAnsi="宋体" w:eastAsia="仿宋_GB2312"/>
          <w:spacing w:val="10"/>
          <w:sz w:val="32"/>
          <w:szCs w:val="32"/>
        </w:rPr>
        <w:t>》（财预</w:t>
      </w:r>
      <w:r>
        <w:rPr>
          <w:rFonts w:hint="eastAsia" w:ascii="仿宋_GB2312" w:hAnsi="宋体" w:eastAsia="仿宋_GB2312"/>
          <w:spacing w:val="10"/>
          <w:sz w:val="32"/>
          <w:szCs w:val="32"/>
        </w:rPr>
        <w:t>〔2020〕7号</w:t>
      </w:r>
      <w:r>
        <w:rPr>
          <w:rFonts w:ascii="仿宋_GB2312" w:hAnsi="宋体" w:eastAsia="仿宋_GB2312"/>
          <w:spacing w:val="10"/>
          <w:sz w:val="32"/>
          <w:szCs w:val="32"/>
        </w:rPr>
        <w:t>）</w:t>
      </w:r>
      <w:r>
        <w:rPr>
          <w:rFonts w:hint="eastAsia" w:ascii="仿宋_GB2312" w:hAnsi="宋体" w:eastAsia="仿宋_GB2312"/>
          <w:spacing w:val="10"/>
          <w:sz w:val="32"/>
          <w:szCs w:val="32"/>
        </w:rPr>
        <w:t>等文件精神，结合我市实际情况,制定本办法。</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jc w:val="both"/>
        <w:textAlignment w:val="auto"/>
        <w:rPr>
          <w:rFonts w:ascii="仿宋_GB2312" w:hAnsi="仿宋" w:eastAsia="仿宋_GB2312"/>
          <w:spacing w:val="10"/>
          <w:sz w:val="32"/>
          <w:szCs w:val="32"/>
        </w:rPr>
      </w:pPr>
      <w:r>
        <w:rPr>
          <w:rFonts w:hint="eastAsia" w:ascii="仿宋_GB2312" w:hAnsi="仿宋" w:eastAsia="仿宋_GB2312"/>
          <w:spacing w:val="10"/>
          <w:sz w:val="32"/>
          <w:szCs w:val="32"/>
        </w:rPr>
        <w:t xml:space="preserve">第二条 </w:t>
      </w:r>
      <w:r>
        <w:rPr>
          <w:rFonts w:hint="eastAsia" w:ascii="仿宋_GB2312" w:hAnsi="仿宋" w:eastAsia="仿宋_GB2312"/>
          <w:b w:val="0"/>
          <w:bCs w:val="0"/>
          <w:spacing w:val="10"/>
          <w:sz w:val="32"/>
          <w:szCs w:val="32"/>
          <w:u w:val="none"/>
        </w:rPr>
        <w:t>本办法所称深圳市知识产权运营基金（以下简称运营基金），是指由深圳市市场监督管理局（以下简称市市场监管局）以中央及深圳市区财政资金（以下简称政府资金，首期为中央服务业专项引导资金7000万元）为基础</w:t>
      </w:r>
      <w:r>
        <w:rPr>
          <w:rFonts w:hint="eastAsia" w:ascii="仿宋_GB2312" w:hAnsi="仿宋" w:eastAsia="仿宋_GB2312"/>
          <w:spacing w:val="10"/>
          <w:sz w:val="32"/>
          <w:szCs w:val="32"/>
        </w:rPr>
        <w:t>，定向吸引社会资金的投入和参与，主要采用股权投资等方式支持深圳市战略性新兴产业和重点产业拥有知识产权核心技术项目，重点支持产业转型升级，探索产业知识产权运营和专利技术成果转化商业模式的运营基金。</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jc w:val="both"/>
        <w:textAlignment w:val="auto"/>
        <w:rPr>
          <w:rFonts w:hint="eastAsia" w:ascii="仿宋_GB2312" w:hAnsi="仿宋" w:eastAsia="仿宋_GB2312"/>
          <w:spacing w:val="10"/>
          <w:sz w:val="32"/>
          <w:szCs w:val="32"/>
        </w:rPr>
      </w:pPr>
      <w:r>
        <w:rPr>
          <w:rFonts w:hint="eastAsia" w:ascii="仿宋_GB2312" w:hAnsi="仿宋" w:eastAsia="仿宋_GB2312"/>
          <w:spacing w:val="10"/>
          <w:sz w:val="32"/>
          <w:szCs w:val="32"/>
        </w:rPr>
        <w:t>第三条 运营基金按照“政府引导、专业运作、鼓励创新、风险可控”的原则进行投资运作。</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hint="eastAsia" w:ascii="仿宋_GB2312" w:hAnsi="仿宋" w:eastAsia="仿宋_GB2312"/>
          <w:spacing w:val="10"/>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黑体" w:hAnsi="黑体" w:eastAsia="黑体"/>
          <w:spacing w:val="10"/>
          <w:sz w:val="32"/>
          <w:szCs w:val="32"/>
        </w:rPr>
      </w:pPr>
      <w:r>
        <w:rPr>
          <w:rFonts w:hint="eastAsia" w:ascii="黑体" w:hAnsi="黑体" w:eastAsia="黑体"/>
          <w:spacing w:val="10"/>
          <w:sz w:val="32"/>
          <w:szCs w:val="32"/>
        </w:rPr>
        <w:t>第二章 基金的设立</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第四条 运营基金由市市场监管局和市财政局上报市政府批准设立。</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第五条 运营基金采取有限合伙制组织形式设立，委托专业机构进行管理。运营基金的基金管理人应是在深圳市注册的国有控股且受中国证券监督管理委员会监管的可从事私募股权投资业务的持牌金融机构，或在深圳市注册的国有控股的私募股权投资机构。</w:t>
      </w:r>
      <w:r>
        <w:rPr>
          <w:rFonts w:hint="eastAsia" w:ascii="仿宋_GB2312" w:hAnsi="仿宋" w:eastAsia="仿宋_GB2312"/>
          <w:b w:val="0"/>
          <w:bCs w:val="0"/>
          <w:spacing w:val="10"/>
          <w:sz w:val="32"/>
          <w:szCs w:val="32"/>
          <w:u w:val="none"/>
        </w:rPr>
        <w:t>政府资金等出资主体作为有限合伙人，基金管理人指定的机构作为普通合伙人，</w:t>
      </w:r>
      <w:r>
        <w:rPr>
          <w:rFonts w:hint="eastAsia" w:ascii="仿宋_GB2312" w:hAnsi="仿宋" w:eastAsia="仿宋_GB2312"/>
          <w:b w:val="0"/>
          <w:bCs w:val="0"/>
          <w:spacing w:val="10"/>
          <w:sz w:val="32"/>
          <w:szCs w:val="32"/>
          <w:u w:val="none"/>
          <w:lang w:val="en-US" w:eastAsia="zh-CN"/>
        </w:rPr>
        <w:t>由有限合伙人和普通合伙人</w:t>
      </w:r>
      <w:r>
        <w:rPr>
          <w:rFonts w:hint="eastAsia" w:ascii="仿宋_GB2312" w:hAnsi="仿宋" w:eastAsia="仿宋_GB2312"/>
          <w:b w:val="0"/>
          <w:bCs w:val="0"/>
          <w:spacing w:val="10"/>
          <w:sz w:val="32"/>
          <w:szCs w:val="32"/>
          <w:u w:val="none"/>
        </w:rPr>
        <w:t>共同设立有限合伙企业。</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hint="eastAsia" w:ascii="仿宋_GB2312" w:hAnsi="仿宋" w:eastAsia="仿宋_GB2312"/>
          <w:spacing w:val="10"/>
          <w:sz w:val="32"/>
          <w:szCs w:val="32"/>
          <w:lang w:val="en-US" w:eastAsia="zh-CN"/>
        </w:rPr>
      </w:pPr>
      <w:r>
        <w:rPr>
          <w:rFonts w:hint="eastAsia" w:ascii="仿宋_GB2312" w:hAnsi="仿宋" w:eastAsia="仿宋_GB2312"/>
          <w:spacing w:val="10"/>
          <w:sz w:val="32"/>
          <w:szCs w:val="32"/>
        </w:rPr>
        <w:t>第六条 运营基金首期规模不低于</w:t>
      </w:r>
      <w:r>
        <w:rPr>
          <w:rFonts w:ascii="仿宋_GB2312" w:hAnsi="仿宋" w:eastAsia="仿宋_GB2312"/>
          <w:spacing w:val="10"/>
          <w:sz w:val="32"/>
          <w:szCs w:val="32"/>
        </w:rPr>
        <w:t>2</w:t>
      </w:r>
      <w:r>
        <w:rPr>
          <w:rFonts w:hint="eastAsia" w:ascii="仿宋_GB2312" w:hAnsi="仿宋" w:eastAsia="仿宋_GB2312"/>
          <w:spacing w:val="10"/>
          <w:sz w:val="32"/>
          <w:szCs w:val="32"/>
        </w:rPr>
        <w:t>.1亿元，基金管理人需按照政府资金规模2倍的比例吸引社会资金投入。鉴于运营基金能有效支撑我市知识产权运营转移转化，支持产业转型升级，首期基金成立后，根据基金运作绩效目标实现程度，逐渐加大投资力度，可通过市区两级资金的撬动作用，吸引更多社会资本参与，争取第二期基金的规模达到6亿元以上。</w:t>
      </w:r>
      <w:r>
        <w:rPr>
          <w:rFonts w:hint="eastAsia" w:ascii="仿宋_GB2312" w:hAnsi="仿宋" w:eastAsia="仿宋_GB2312"/>
          <w:spacing w:val="10"/>
          <w:sz w:val="32"/>
          <w:szCs w:val="32"/>
          <w:lang w:val="en-US" w:eastAsia="zh-CN"/>
        </w:rPr>
        <w:t>为加快首期基金的设立，基金管理人选确定后，市市场监管局与基金管理人签订基金章程（协议），待基金设立后，可先于社会资本将政府资金转入基金开展运作。为实现政府募资要求，章程（协议）应明确基金管理人的募集义务和违约责任。市市场监管局应督促基金管理人及时足额完成社会资本募集。</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第七条 运营基金存续期限为</w:t>
      </w:r>
      <w:r>
        <w:rPr>
          <w:rFonts w:ascii="仿宋_GB2312" w:hAnsi="仿宋" w:eastAsia="仿宋_GB2312"/>
          <w:spacing w:val="10"/>
          <w:sz w:val="32"/>
          <w:szCs w:val="32"/>
        </w:rPr>
        <w:t>10</w:t>
      </w:r>
      <w:r>
        <w:rPr>
          <w:rFonts w:hint="eastAsia" w:ascii="仿宋_GB2312" w:hAnsi="仿宋" w:eastAsia="仿宋_GB2312"/>
          <w:spacing w:val="10"/>
          <w:sz w:val="32"/>
          <w:szCs w:val="32"/>
        </w:rPr>
        <w:t>年，其中投资期</w:t>
      </w:r>
      <w:r>
        <w:rPr>
          <w:rFonts w:ascii="仿宋_GB2312" w:hAnsi="仿宋" w:eastAsia="仿宋_GB2312"/>
          <w:spacing w:val="10"/>
          <w:sz w:val="32"/>
          <w:szCs w:val="32"/>
        </w:rPr>
        <w:t>7</w:t>
      </w:r>
      <w:r>
        <w:rPr>
          <w:rFonts w:hint="eastAsia" w:ascii="仿宋_GB2312" w:hAnsi="仿宋" w:eastAsia="仿宋_GB2312"/>
          <w:spacing w:val="10"/>
          <w:sz w:val="32"/>
          <w:szCs w:val="32"/>
        </w:rPr>
        <w:t>年，退出期</w:t>
      </w:r>
      <w:r>
        <w:rPr>
          <w:rFonts w:ascii="仿宋_GB2312" w:hAnsi="仿宋" w:eastAsia="仿宋_GB2312"/>
          <w:spacing w:val="10"/>
          <w:sz w:val="32"/>
          <w:szCs w:val="32"/>
        </w:rPr>
        <w:t>3</w:t>
      </w:r>
      <w:r>
        <w:rPr>
          <w:rFonts w:hint="eastAsia" w:ascii="仿宋_GB2312" w:hAnsi="仿宋" w:eastAsia="仿宋_GB2312"/>
          <w:spacing w:val="10"/>
          <w:sz w:val="32"/>
          <w:szCs w:val="32"/>
        </w:rPr>
        <w:t xml:space="preserve">年。如运营基金运行良好，可在存续期满前一年，经市市场监管局审议通过后，延长运营基金存续期限，具体方案以合伙协议另行约定。 </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第八条 运营基金的投资方向包括：</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（一）根据我市产业发展实际情况，重点投向新一代信息技术、高端装备制造、绿色低碳、生物医药、数字经济、新材料、海洋经济等知识产权密集型产业的知识产权创造、运用、管理和保护；</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（二）重点支持产业转型升级，探索产业知识产权运营和专利技术成果转化的商业模式。</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第九条 运营基金投资于深圳市注册登记企业的资金不低于政府出资额的1.5倍（含运营基金投资后，注册地迁往深圳市或主要生产研发基地落户深圳市的项目所对应投资额）。</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第十条 基金管理人应按照党中央、国务院《关于支持深圳建设中国特色社会主义先行示范区的意见》要求，积极推动知识产权证券化工作，参与发行证券化产品。</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hint="eastAsia" w:ascii="仿宋_GB2312" w:hAnsi="仿宋" w:eastAsia="仿宋_GB2312"/>
          <w:spacing w:val="10"/>
          <w:sz w:val="32"/>
          <w:szCs w:val="32"/>
        </w:rPr>
      </w:pPr>
      <w:r>
        <w:rPr>
          <w:rFonts w:hint="eastAsia" w:ascii="仿宋_GB2312" w:hAnsi="仿宋" w:eastAsia="仿宋_GB2312"/>
          <w:spacing w:val="10"/>
          <w:sz w:val="32"/>
          <w:szCs w:val="32"/>
        </w:rPr>
        <w:t>第十一条 运营基金可以与各级财政部门设立的或相同目标的国内基金合作，共同投资特定产业拥有核心知识产权技术项目。</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hint="eastAsia" w:ascii="仿宋_GB2312" w:hAnsi="仿宋" w:eastAsia="仿宋_GB2312"/>
          <w:spacing w:val="10"/>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黑体" w:hAnsi="黑体" w:eastAsia="黑体"/>
          <w:spacing w:val="10"/>
          <w:sz w:val="32"/>
          <w:szCs w:val="32"/>
        </w:rPr>
      </w:pPr>
      <w:r>
        <w:rPr>
          <w:rFonts w:hint="eastAsia" w:ascii="黑体" w:hAnsi="黑体" w:eastAsia="黑体"/>
          <w:spacing w:val="10"/>
          <w:sz w:val="32"/>
          <w:szCs w:val="32"/>
        </w:rPr>
        <w:t>第三章 基金管理</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第十二条 市市场监管局代表政府作为资金委托方行使监督管理职责</w:t>
      </w:r>
      <w:r>
        <w:rPr>
          <w:rFonts w:hint="eastAsia" w:ascii="仿宋_GB2312" w:hAnsi="仿宋" w:eastAsia="仿宋_GB2312"/>
          <w:spacing w:val="10"/>
          <w:sz w:val="32"/>
          <w:szCs w:val="32"/>
          <w:lang w:eastAsia="zh-CN"/>
        </w:rPr>
        <w:t>，</w:t>
      </w:r>
      <w:r>
        <w:rPr>
          <w:rFonts w:hint="eastAsia" w:ascii="仿宋_GB2312" w:hAnsi="仿宋" w:eastAsia="仿宋_GB2312"/>
          <w:spacing w:val="10"/>
          <w:sz w:val="32"/>
          <w:szCs w:val="32"/>
        </w:rPr>
        <w:t>履行股东和出资人职责，确定资金使用方向</w:t>
      </w:r>
      <w:r>
        <w:rPr>
          <w:rFonts w:hint="eastAsia" w:ascii="仿宋_GB2312" w:hAnsi="仿宋" w:eastAsia="仿宋_GB2312"/>
          <w:spacing w:val="10"/>
          <w:sz w:val="32"/>
          <w:szCs w:val="32"/>
          <w:lang w:eastAsia="zh-CN"/>
        </w:rPr>
        <w:t>，</w:t>
      </w:r>
      <w:r>
        <w:rPr>
          <w:rFonts w:hint="eastAsia" w:ascii="仿宋_GB2312" w:hAnsi="仿宋" w:eastAsia="仿宋_GB2312"/>
          <w:spacing w:val="10"/>
          <w:sz w:val="32"/>
          <w:szCs w:val="32"/>
        </w:rPr>
        <w:t>承担政府财政预算执行主体责任，负责运营基金的全过程监管，并履行以下职责：</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（一）公开遴选基金管理人，定期对基金的政策目标、政策效果、管理情况及资产情况等进行考核评价；</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（二）审定深圳市知识产权运营基金实施方案（以下简称为实施方案）及运营基金合伙协议，监督运营基金按照实施方案及合伙协议相关约定运作；</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（三）依据与基金管理人的约定，对运营基金进行业务监管和考核，重点监督运营基金投资方向；</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（四）参加基金合伙人大会，促进政策目标实现，维护政府资金的权益；</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（五）配合市财政局做好基金绩效评价等工作；</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（六）</w:t>
      </w:r>
      <w:r>
        <w:rPr>
          <w:rFonts w:hint="eastAsia" w:ascii="仿宋_GB2312" w:hAnsi="仿宋" w:eastAsia="仿宋_GB2312"/>
          <w:spacing w:val="10"/>
          <w:sz w:val="32"/>
          <w:szCs w:val="32"/>
          <w:lang w:eastAsia="zh-CN"/>
        </w:rPr>
        <w:t>聘请</w:t>
      </w:r>
      <w:r>
        <w:rPr>
          <w:rFonts w:hint="eastAsia" w:ascii="仿宋_GB2312" w:hAnsi="仿宋" w:eastAsia="仿宋_GB2312"/>
          <w:spacing w:val="10"/>
          <w:sz w:val="32"/>
          <w:szCs w:val="32"/>
        </w:rPr>
        <w:t>审计机构，</w:t>
      </w:r>
      <w:r>
        <w:rPr>
          <w:rFonts w:hint="eastAsia" w:ascii="仿宋_GB2312" w:hAnsi="仿宋" w:eastAsia="仿宋_GB2312"/>
          <w:spacing w:val="10"/>
          <w:sz w:val="32"/>
          <w:szCs w:val="32"/>
          <w:lang w:eastAsia="zh-CN"/>
        </w:rPr>
        <w:t>协助</w:t>
      </w:r>
      <w:r>
        <w:rPr>
          <w:rFonts w:hint="eastAsia" w:ascii="仿宋_GB2312" w:hAnsi="仿宋" w:eastAsia="仿宋_GB2312"/>
          <w:spacing w:val="10"/>
          <w:sz w:val="32"/>
          <w:szCs w:val="32"/>
        </w:rPr>
        <w:t>对运营基金进行有效监管，保障出资权益；</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b/>
          <w:bCs/>
          <w:spacing w:val="10"/>
          <w:sz w:val="32"/>
          <w:szCs w:val="32"/>
        </w:rPr>
      </w:pPr>
      <w:r>
        <w:rPr>
          <w:rFonts w:hint="eastAsia" w:ascii="仿宋_GB2312" w:hAnsi="仿宋" w:eastAsia="仿宋_GB2312"/>
          <w:spacing w:val="10"/>
          <w:sz w:val="32"/>
          <w:szCs w:val="32"/>
        </w:rPr>
        <w:t>（七）运营基金出资人的</w:t>
      </w:r>
      <w:r>
        <w:rPr>
          <w:rFonts w:hint="eastAsia" w:ascii="仿宋_GB2312" w:hAnsi="仿宋" w:eastAsia="仿宋_GB2312"/>
          <w:spacing w:val="10"/>
          <w:sz w:val="32"/>
          <w:szCs w:val="32"/>
          <w:lang w:eastAsia="zh-CN"/>
        </w:rPr>
        <w:t>其他</w:t>
      </w:r>
      <w:r>
        <w:rPr>
          <w:rFonts w:hint="eastAsia" w:ascii="仿宋_GB2312" w:hAnsi="仿宋" w:eastAsia="仿宋_GB2312"/>
          <w:spacing w:val="10"/>
          <w:sz w:val="32"/>
          <w:szCs w:val="32"/>
        </w:rPr>
        <w:t>有关工作。</w:t>
      </w:r>
    </w:p>
    <w:p>
      <w:pPr>
        <w:keepNext w:val="0"/>
        <w:keepLines w:val="0"/>
        <w:pageBreakBefore w:val="0"/>
        <w:widowControl w:val="0"/>
        <w:kinsoku/>
        <w:wordWrap/>
        <w:overflowPunct/>
        <w:topLinePunct w:val="0"/>
        <w:autoSpaceDE/>
        <w:autoSpaceDN/>
        <w:bidi w:val="0"/>
        <w:adjustRightInd/>
        <w:snapToGrid/>
        <w:spacing w:line="579" w:lineRule="exact"/>
        <w:ind w:firstLine="680"/>
        <w:textAlignment w:val="auto"/>
        <w:rPr>
          <w:rFonts w:ascii="仿宋_GB2312" w:hAnsi="仿宋" w:eastAsia="仿宋_GB2312"/>
          <w:spacing w:val="10"/>
          <w:sz w:val="32"/>
          <w:szCs w:val="32"/>
        </w:rPr>
      </w:pPr>
      <w:r>
        <w:rPr>
          <w:rFonts w:hint="eastAsia" w:ascii="仿宋_GB2312" w:hAnsi="仿宋" w:eastAsia="仿宋_GB2312"/>
          <w:spacing w:val="10"/>
          <w:sz w:val="32"/>
          <w:szCs w:val="32"/>
        </w:rPr>
        <w:t>第十三条 市市场监管局具体负责，市财政局、</w:t>
      </w:r>
      <w:r>
        <w:rPr>
          <w:rFonts w:hint="eastAsia" w:ascii="仿宋_GB2312" w:hAnsi="仿宋" w:eastAsia="仿宋_GB2312"/>
          <w:spacing w:val="10"/>
          <w:sz w:val="32"/>
          <w:szCs w:val="32"/>
          <w:lang w:val="en-US" w:eastAsia="zh-CN"/>
        </w:rPr>
        <w:t>市</w:t>
      </w:r>
      <w:r>
        <w:rPr>
          <w:rFonts w:hint="eastAsia" w:ascii="仿宋_GB2312" w:hAnsi="仿宋" w:eastAsia="仿宋_GB2312"/>
          <w:spacing w:val="10"/>
          <w:sz w:val="32"/>
          <w:szCs w:val="32"/>
        </w:rPr>
        <w:t>国资委配合，向社会公开遴选符合条件的国资控股企业作为基金管理人，由基金管理人具体负责运营基金的管理和运作。遴选和评审程序如下：</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（一）在市市场监管局门户网站发布遴选公告，</w:t>
      </w:r>
      <w:r>
        <w:rPr>
          <w:rFonts w:hint="eastAsia" w:ascii="仿宋_GB2312" w:hAnsi="仿宋" w:eastAsia="仿宋_GB2312"/>
          <w:spacing w:val="10"/>
          <w:sz w:val="32"/>
          <w:szCs w:val="32"/>
          <w:lang w:eastAsia="zh-CN"/>
        </w:rPr>
        <w:t>原则上申报人应于申报公告之日起</w:t>
      </w:r>
      <w:r>
        <w:rPr>
          <w:rFonts w:hint="eastAsia" w:ascii="仿宋_GB2312" w:hAnsi="仿宋" w:eastAsia="仿宋_GB2312"/>
          <w:spacing w:val="10"/>
          <w:sz w:val="32"/>
          <w:szCs w:val="32"/>
          <w:lang w:val="en-US" w:eastAsia="zh-CN"/>
        </w:rPr>
        <w:t>5个工作日内，以书面形式申报，逾期不予受理</w:t>
      </w:r>
      <w:r>
        <w:rPr>
          <w:rFonts w:hint="eastAsia" w:ascii="仿宋_GB2312" w:hAnsi="仿宋" w:eastAsia="仿宋_GB2312"/>
          <w:spacing w:val="1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（二）组织专家对基金管理人的申报方案进行评审，专家从深圳市知识产权专家库中随机抽取产生；</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（三）全体专家按照《深圳市知识产权运营基金遴选基金管理人评分标准》评分，按照得分高低确定入选名单</w:t>
      </w:r>
      <w:r>
        <w:rPr>
          <w:rFonts w:hint="eastAsia" w:ascii="仿宋_GB2312" w:hAnsi="仿宋" w:eastAsia="仿宋_GB2312"/>
          <w:spacing w:val="10"/>
          <w:sz w:val="32"/>
          <w:szCs w:val="32"/>
          <w:lang w:eastAsia="zh-CN"/>
        </w:rPr>
        <w:t>，</w:t>
      </w:r>
      <w:r>
        <w:rPr>
          <w:rFonts w:hint="eastAsia" w:ascii="仿宋_GB2312" w:hAnsi="仿宋" w:eastAsia="仿宋_GB2312"/>
          <w:spacing w:val="10"/>
          <w:sz w:val="32"/>
          <w:szCs w:val="32"/>
        </w:rPr>
        <w:t>总得分最高者确定为基金管理人初步人选。只有一家单位申报的，经专家评审，认为申报人符合基金管理人条件的，确定为基金管理人初步人选。</w:t>
      </w:r>
    </w:p>
    <w:p>
      <w:pPr>
        <w:keepNext w:val="0"/>
        <w:keepLines w:val="0"/>
        <w:pageBreakBefore w:val="0"/>
        <w:widowControl w:val="0"/>
        <w:kinsoku/>
        <w:wordWrap/>
        <w:overflowPunct/>
        <w:topLinePunct w:val="0"/>
        <w:autoSpaceDE/>
        <w:autoSpaceDN/>
        <w:bidi w:val="0"/>
        <w:adjustRightInd/>
        <w:snapToGrid/>
        <w:spacing w:line="579" w:lineRule="exact"/>
        <w:ind w:firstLine="680"/>
        <w:textAlignment w:val="auto"/>
        <w:rPr>
          <w:rFonts w:ascii="仿宋_GB2312" w:hAnsi="仿宋" w:eastAsia="仿宋_GB2312"/>
          <w:spacing w:val="10"/>
          <w:sz w:val="32"/>
          <w:szCs w:val="32"/>
        </w:rPr>
      </w:pPr>
      <w:r>
        <w:rPr>
          <w:rFonts w:hint="eastAsia" w:ascii="仿宋_GB2312" w:hAnsi="仿宋" w:eastAsia="仿宋_GB2312"/>
          <w:spacing w:val="10"/>
          <w:sz w:val="32"/>
          <w:szCs w:val="32"/>
        </w:rPr>
        <w:t>（四）基金管理人初步人选由市市场监管局审议后向社会公示。公示期满后无异议或异议不成立的，确定为深圳市知识产权运营基金管理人。</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第十四条 基金管理人为运营基金的运营管理单位，负责运营基金的具体运作与管理，并履行以下职责：</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（一）选择一家知识产权专业服务机构合作，配合运营基金的投资运作。制定实施方案，报市市场监管局审定；</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（二）落实基金的政策目标，做好风险防范，接受市政府相关部门的监督管理和考核评价；</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（三）对基金的运营情况进行统计分析和评价，每季度向市财政局、市市场监管局报送基金的运营情况及进展情况；</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（四）及时向市市场监管局报告基金启动、项目投资、收益分配、基金退出等重大事项；</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（五）确定基金托管银行并开立基金专用账户。</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第十五条 托管银行与基金管理人签订资金托管协议，按指令执行资金的划拨结算和日常监管，确保资金安全。每季度结束后1</w:t>
      </w:r>
      <w:r>
        <w:rPr>
          <w:rFonts w:ascii="仿宋_GB2312" w:hAnsi="仿宋" w:eastAsia="仿宋_GB2312"/>
          <w:spacing w:val="10"/>
          <w:sz w:val="32"/>
          <w:szCs w:val="32"/>
        </w:rPr>
        <w:t>5</w:t>
      </w:r>
      <w:r>
        <w:rPr>
          <w:rFonts w:hint="eastAsia" w:ascii="仿宋_GB2312" w:hAnsi="仿宋" w:eastAsia="仿宋_GB2312"/>
          <w:spacing w:val="10"/>
          <w:sz w:val="32"/>
          <w:szCs w:val="32"/>
        </w:rPr>
        <w:t>日内向市财政局、市市场监管局、基金管理人报送资金托管报告，并在每个会计年度结束后一个月内报送上一年度的资金托管报告。</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第十六条 市市场监管局应对运营基金的资金筹集、项目投资和投资退出等工作提供协助，协调解决运营基金运作过程中的重大事项。</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仿宋_GB2312" w:hAnsi="仿宋" w:eastAsia="仿宋_GB2312"/>
          <w:spacing w:val="10"/>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黑体" w:hAnsi="黑体" w:eastAsia="黑体"/>
          <w:spacing w:val="10"/>
          <w:sz w:val="32"/>
          <w:szCs w:val="32"/>
        </w:rPr>
      </w:pPr>
      <w:r>
        <w:rPr>
          <w:rFonts w:hint="eastAsia" w:ascii="黑体" w:hAnsi="黑体" w:eastAsia="黑体"/>
          <w:spacing w:val="10"/>
          <w:sz w:val="32"/>
          <w:szCs w:val="32"/>
        </w:rPr>
        <w:t>第四章 基金使用</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第十七条 按照“利益共享、风险共担”的原则，运营基金根据本办法第八条规定的产业领域方向进行投资。</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第十八条 运营基金对单个项目的投资原则上不超过运营基金认缴出资总额的2</w:t>
      </w:r>
      <w:r>
        <w:rPr>
          <w:rFonts w:ascii="仿宋_GB2312" w:hAnsi="仿宋" w:eastAsia="仿宋_GB2312"/>
          <w:spacing w:val="10"/>
          <w:sz w:val="32"/>
          <w:szCs w:val="32"/>
        </w:rPr>
        <w:t>0</w:t>
      </w:r>
      <w:r>
        <w:rPr>
          <w:rFonts w:hint="eastAsia" w:ascii="仿宋_GB2312" w:hAnsi="仿宋" w:eastAsia="仿宋_GB2312"/>
          <w:spacing w:val="10"/>
          <w:sz w:val="32"/>
          <w:szCs w:val="32"/>
        </w:rPr>
        <w:t>%，且不超过被投资项目总股本的3</w:t>
      </w:r>
      <w:r>
        <w:rPr>
          <w:rFonts w:ascii="仿宋_GB2312" w:hAnsi="仿宋" w:eastAsia="仿宋_GB2312"/>
          <w:spacing w:val="10"/>
          <w:sz w:val="32"/>
          <w:szCs w:val="32"/>
        </w:rPr>
        <w:t>0</w:t>
      </w:r>
      <w:r>
        <w:rPr>
          <w:rFonts w:hint="eastAsia" w:ascii="仿宋_GB2312" w:hAnsi="仿宋" w:eastAsia="仿宋_GB2312"/>
          <w:spacing w:val="1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第十九条 运营基金投资项目的退出方式主要包括：项目上市退出、并购退出、转让退出、原股东回购退出等。</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第二十条 运营基金投资项目的退出资金，统一集中到基金托管银行专用账户，并按照合伙协议约定扣除相关费用后</w:t>
      </w:r>
      <w:r>
        <w:rPr>
          <w:rFonts w:hint="eastAsia" w:ascii="仿宋_GB2312" w:hAnsi="仿宋" w:eastAsia="仿宋_GB2312"/>
          <w:spacing w:val="10"/>
          <w:sz w:val="32"/>
          <w:szCs w:val="32"/>
          <w:lang w:eastAsia="zh-CN"/>
        </w:rPr>
        <w:t>，</w:t>
      </w:r>
      <w:r>
        <w:rPr>
          <w:rFonts w:hint="eastAsia" w:ascii="仿宋_GB2312" w:hAnsi="仿宋" w:eastAsia="仿宋_GB2312"/>
          <w:spacing w:val="10"/>
          <w:sz w:val="32"/>
          <w:szCs w:val="32"/>
        </w:rPr>
        <w:t>及时向市市场监管局及其他运营基金出资人进行收益分配；</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第二十一条 市市场监管局收到运营基金收益分配款项后</w:t>
      </w:r>
      <w:r>
        <w:rPr>
          <w:rFonts w:hint="eastAsia" w:ascii="仿宋_GB2312" w:hAnsi="仿宋" w:eastAsia="仿宋_GB2312"/>
          <w:spacing w:val="10"/>
          <w:sz w:val="32"/>
          <w:szCs w:val="32"/>
          <w:lang w:eastAsia="zh-CN"/>
        </w:rPr>
        <w:t>，</w:t>
      </w:r>
      <w:r>
        <w:rPr>
          <w:rFonts w:hint="eastAsia" w:ascii="仿宋_GB2312" w:hAnsi="仿宋" w:eastAsia="仿宋_GB2312"/>
          <w:spacing w:val="10"/>
          <w:sz w:val="32"/>
          <w:szCs w:val="32"/>
        </w:rPr>
        <w:t>按照市财政局国库管理制度有关规定及时足额上缴国库。</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第二十二条 运营基金不得从事以下业务：</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（一）从事融资担保以外的担保、抵押、委托贷款等业务；</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（二）投资二级市场股票、期货、房地产、证券投资基金、评级AAA以下的企业债、信托产品、非保本型理财产品、保险计划及其他金融衍生品；</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（三）向任何第三方提供赞助、捐赠（经批准的公益性捐赠除外）；</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（四）吸收或变相吸收存款，或向第三方提供贷款和资金拆借；</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（五）进行承担无限连带责任的对外投资；</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（六）发行信托或集合理财产品募集资金；</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（七）其他国家法律法规禁止从事的业务。</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spacing w:val="10"/>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spacing w:val="10"/>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黑体" w:hAnsi="黑体" w:eastAsia="黑体"/>
          <w:spacing w:val="10"/>
          <w:sz w:val="32"/>
          <w:szCs w:val="32"/>
        </w:rPr>
      </w:pPr>
      <w:r>
        <w:rPr>
          <w:rFonts w:hint="eastAsia" w:ascii="黑体" w:hAnsi="黑体" w:eastAsia="黑体"/>
          <w:spacing w:val="10"/>
          <w:sz w:val="32"/>
          <w:szCs w:val="32"/>
        </w:rPr>
        <w:t>第五章 风险管理</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第二十三条 运营基金及其管理人应当建立完善的财产分离制度，运营基金财产与管理人</w:t>
      </w:r>
      <w:r>
        <w:rPr>
          <w:rFonts w:hint="eastAsia" w:ascii="仿宋_GB2312" w:hAnsi="仿宋" w:eastAsia="仿宋_GB2312"/>
          <w:spacing w:val="10"/>
          <w:sz w:val="32"/>
          <w:szCs w:val="32"/>
          <w:lang w:eastAsia="zh-CN"/>
        </w:rPr>
        <w:t>其他</w:t>
      </w:r>
      <w:r>
        <w:rPr>
          <w:rFonts w:hint="eastAsia" w:ascii="仿宋_GB2312" w:hAnsi="仿宋" w:eastAsia="仿宋_GB2312"/>
          <w:spacing w:val="10"/>
          <w:sz w:val="32"/>
          <w:szCs w:val="32"/>
        </w:rPr>
        <w:t>财产</w:t>
      </w:r>
      <w:r>
        <w:rPr>
          <w:rFonts w:hint="eastAsia" w:ascii="仿宋_GB2312" w:hAnsi="仿宋" w:eastAsia="仿宋_GB2312"/>
          <w:b w:val="0"/>
          <w:bCs w:val="0"/>
          <w:spacing w:val="10"/>
          <w:sz w:val="32"/>
          <w:szCs w:val="32"/>
          <w:u w:val="none"/>
        </w:rPr>
        <w:t>（包括管理人自有财产以及管理人管理的</w:t>
      </w:r>
      <w:r>
        <w:rPr>
          <w:rFonts w:hint="eastAsia" w:ascii="仿宋_GB2312" w:hAnsi="仿宋" w:eastAsia="仿宋_GB2312"/>
          <w:b w:val="0"/>
          <w:bCs w:val="0"/>
          <w:spacing w:val="10"/>
          <w:sz w:val="32"/>
          <w:szCs w:val="32"/>
          <w:u w:val="none"/>
          <w:lang w:eastAsia="zh-CN"/>
        </w:rPr>
        <w:t>其他</w:t>
      </w:r>
      <w:r>
        <w:rPr>
          <w:rFonts w:hint="eastAsia" w:ascii="仿宋_GB2312" w:hAnsi="仿宋" w:eastAsia="仿宋_GB2312"/>
          <w:b w:val="0"/>
          <w:bCs w:val="0"/>
          <w:spacing w:val="10"/>
          <w:sz w:val="32"/>
          <w:szCs w:val="32"/>
          <w:u w:val="none"/>
        </w:rPr>
        <w:t>财产）</w:t>
      </w:r>
      <w:r>
        <w:rPr>
          <w:rFonts w:hint="eastAsia" w:ascii="仿宋_GB2312" w:hAnsi="仿宋" w:eastAsia="仿宋_GB2312"/>
          <w:spacing w:val="10"/>
          <w:sz w:val="32"/>
          <w:szCs w:val="32"/>
        </w:rPr>
        <w:t>之间要实行独立运作，分别核算。</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第二十四条 基金管理人应当建立健全内部控制和外部监管制度，建立投资决策和风险约束机制，加强对投资项目的风险管理，切实防范运营基金运作过程中可能出现的风险。</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第二十五条 基金管理人应向投资的企业、机构委派董事或者监事，或者向投资的知识产权项目委派具体执行人和观察员，跟踪企业和项目的经营和财务状况，防范财务风险。</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第二十六条 基金管理人应向市市场监管局报送季度基金运营报告及年度基金审计报告。市市场监管局可委托会计师事务所对运营基金使用情况进行审计，也可委托审计部门进行审计。</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第二十七条 政府应以出资部分为限承担有限责任。运营基金实行专款专用，禁止任何部门和单位截留、挪用。若发现上述情况，市市场监管局应立即终止合作，并依法追究相关单位责任。</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spacing w:val="10"/>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黑体" w:hAnsi="黑体" w:eastAsia="黑体"/>
          <w:spacing w:val="10"/>
          <w:sz w:val="32"/>
          <w:szCs w:val="32"/>
        </w:rPr>
      </w:pPr>
      <w:r>
        <w:rPr>
          <w:rFonts w:hint="eastAsia" w:ascii="黑体" w:hAnsi="黑体" w:eastAsia="黑体"/>
          <w:spacing w:val="10"/>
          <w:sz w:val="32"/>
          <w:szCs w:val="32"/>
        </w:rPr>
        <w:t>第六章 基金绩效管理</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第二十八条 运营基金实施政府投资基金全过程绩效管理，绩效评价的结果将作为基金存续期到期后是否延期及计提管理费和超额奖励的重要依据。市市场监管局负责做好事前绩效评估，制定绩效目标和绩效指标。</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第二十九条 市市场监管局根据绩效评价的重点和要求，</w:t>
      </w:r>
      <w:r>
        <w:rPr>
          <w:rFonts w:hint="eastAsia" w:ascii="仿宋_GB2312" w:hAnsi="仿宋" w:eastAsia="仿宋_GB2312"/>
          <w:spacing w:val="10"/>
          <w:sz w:val="32"/>
          <w:szCs w:val="32"/>
          <w:highlight w:val="none"/>
        </w:rPr>
        <w:t>对基金</w:t>
      </w:r>
      <w:r>
        <w:rPr>
          <w:rFonts w:hint="eastAsia" w:ascii="仿宋_GB2312" w:hAnsi="仿宋" w:eastAsia="仿宋_GB2312"/>
          <w:spacing w:val="10"/>
          <w:sz w:val="32"/>
          <w:szCs w:val="32"/>
          <w:highlight w:val="none"/>
          <w:lang w:val="en-US" w:eastAsia="zh-CN"/>
        </w:rPr>
        <w:t>管理人</w:t>
      </w:r>
      <w:r>
        <w:rPr>
          <w:rFonts w:hint="eastAsia" w:ascii="仿宋_GB2312" w:hAnsi="仿宋" w:eastAsia="仿宋_GB2312"/>
          <w:spacing w:val="10"/>
          <w:sz w:val="32"/>
          <w:szCs w:val="32"/>
          <w:highlight w:val="none"/>
        </w:rPr>
        <w:t>提交的</w:t>
      </w:r>
      <w:r>
        <w:rPr>
          <w:rFonts w:hint="eastAsia" w:ascii="仿宋_GB2312" w:hAnsi="仿宋" w:eastAsia="仿宋_GB2312"/>
          <w:spacing w:val="10"/>
          <w:sz w:val="32"/>
          <w:szCs w:val="32"/>
          <w:highlight w:val="none"/>
          <w:lang w:val="en-US" w:eastAsia="zh-CN"/>
        </w:rPr>
        <w:t>关于运营基金的</w:t>
      </w:r>
      <w:r>
        <w:rPr>
          <w:rFonts w:hint="eastAsia" w:ascii="仿宋_GB2312" w:hAnsi="仿宋" w:eastAsia="仿宋_GB2312"/>
          <w:spacing w:val="10"/>
          <w:sz w:val="32"/>
          <w:szCs w:val="32"/>
          <w:highlight w:val="none"/>
        </w:rPr>
        <w:t>相关资料进行审核</w:t>
      </w:r>
      <w:r>
        <w:rPr>
          <w:rFonts w:hint="eastAsia" w:ascii="仿宋_GB2312" w:hAnsi="仿宋" w:eastAsia="仿宋_GB2312"/>
          <w:spacing w:val="10"/>
          <w:sz w:val="32"/>
          <w:szCs w:val="32"/>
        </w:rPr>
        <w:t>，分析绩效目标完成情况，运用相关评价方法对绩效目标的完成情况和绩效实现情况进行综合评价，形成评价结论及撰写绩效报告。</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第三十条 市市场监管局应对绩效评价中发现的问题及时制定整改措施，并报市财政局备案。同时，应根据绩效评价结果，改进管理工作，完善管理办法，督促基金管理机构调整、优化基金投资及管理结构，合理配置资源。</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spacing w:val="10"/>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黑体" w:hAnsi="黑体" w:eastAsia="黑体"/>
          <w:spacing w:val="10"/>
          <w:sz w:val="32"/>
          <w:szCs w:val="32"/>
        </w:rPr>
      </w:pPr>
      <w:r>
        <w:rPr>
          <w:rFonts w:hint="eastAsia" w:ascii="黑体" w:hAnsi="黑体" w:eastAsia="黑体"/>
          <w:spacing w:val="10"/>
          <w:sz w:val="32"/>
          <w:szCs w:val="32"/>
        </w:rPr>
        <w:t>第七章 基金管理费和收益</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第三十一条 运营基金管理人</w:t>
      </w:r>
      <w:r>
        <w:rPr>
          <w:rFonts w:hint="eastAsia" w:ascii="仿宋_GB2312" w:hAnsi="仿宋" w:eastAsia="仿宋_GB2312"/>
          <w:b w:val="0"/>
          <w:bCs w:val="0"/>
          <w:spacing w:val="10"/>
          <w:sz w:val="32"/>
          <w:szCs w:val="32"/>
          <w:u w:val="none"/>
        </w:rPr>
        <w:t>按运营基金实缴资本中实际进行投资和管理规模</w:t>
      </w:r>
      <w:r>
        <w:rPr>
          <w:rFonts w:hint="eastAsia" w:ascii="仿宋_GB2312" w:hAnsi="仿宋" w:eastAsia="仿宋_GB2312"/>
          <w:spacing w:val="10"/>
          <w:sz w:val="32"/>
          <w:szCs w:val="32"/>
        </w:rPr>
        <w:t>，每年按不超过2%收取管理费用。上述费用从基金资产中列支。</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b/>
          <w:bCs/>
          <w:spacing w:val="10"/>
          <w:sz w:val="32"/>
          <w:szCs w:val="32"/>
          <w:u w:val="single"/>
        </w:rPr>
      </w:pPr>
      <w:r>
        <w:rPr>
          <w:rFonts w:hint="eastAsia" w:ascii="仿宋_GB2312" w:hAnsi="仿宋" w:eastAsia="仿宋_GB2312"/>
          <w:spacing w:val="10"/>
          <w:sz w:val="32"/>
          <w:szCs w:val="32"/>
        </w:rPr>
        <w:t xml:space="preserve">第三十二条 </w:t>
      </w:r>
      <w:r>
        <w:rPr>
          <w:rFonts w:hint="eastAsia" w:ascii="仿宋_GB2312" w:hAnsi="仿宋" w:eastAsia="仿宋_GB2312"/>
          <w:b w:val="0"/>
          <w:bCs w:val="0"/>
          <w:spacing w:val="10"/>
          <w:sz w:val="32"/>
          <w:szCs w:val="32"/>
          <w:u w:val="none"/>
        </w:rPr>
        <w:t>在运营基金年化收益率超过约定基准收益率时，可对运营基金管理人进行超额收益奖励。具体奖励办法由市市场监管局提出方案报市政府审批后实施。</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spacing w:val="10"/>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黑体" w:hAnsi="黑体" w:eastAsia="黑体"/>
          <w:spacing w:val="10"/>
          <w:sz w:val="32"/>
          <w:szCs w:val="32"/>
        </w:rPr>
      </w:pPr>
      <w:r>
        <w:rPr>
          <w:rFonts w:hint="eastAsia" w:ascii="黑体" w:hAnsi="黑体" w:eastAsia="黑体"/>
          <w:spacing w:val="10"/>
          <w:sz w:val="32"/>
          <w:szCs w:val="32"/>
        </w:rPr>
        <w:t>第八章 基金的终止和退出</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第三十三条 运营基金一般在存续期届满且不再续期后终止，或合伙协议规定的</w:t>
      </w:r>
      <w:r>
        <w:rPr>
          <w:rFonts w:hint="eastAsia" w:ascii="仿宋_GB2312" w:hAnsi="仿宋" w:eastAsia="仿宋_GB2312"/>
          <w:spacing w:val="10"/>
          <w:sz w:val="32"/>
          <w:szCs w:val="32"/>
          <w:lang w:eastAsia="zh-CN"/>
        </w:rPr>
        <w:t>其他</w:t>
      </w:r>
      <w:r>
        <w:rPr>
          <w:rFonts w:hint="eastAsia" w:ascii="仿宋_GB2312" w:hAnsi="仿宋" w:eastAsia="仿宋_GB2312"/>
          <w:spacing w:val="10"/>
          <w:sz w:val="32"/>
          <w:szCs w:val="32"/>
        </w:rPr>
        <w:t>终止事项发生后终止。</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第三十四条 运营基金中政府与</w:t>
      </w:r>
      <w:r>
        <w:rPr>
          <w:rFonts w:hint="eastAsia" w:ascii="仿宋_GB2312" w:hAnsi="仿宋" w:eastAsia="仿宋_GB2312"/>
          <w:spacing w:val="10"/>
          <w:sz w:val="32"/>
          <w:szCs w:val="32"/>
          <w:lang w:eastAsia="zh-CN"/>
        </w:rPr>
        <w:t>其他</w:t>
      </w:r>
      <w:r>
        <w:rPr>
          <w:rFonts w:hint="eastAsia" w:ascii="仿宋_GB2312" w:hAnsi="仿宋" w:eastAsia="仿宋_GB2312"/>
          <w:spacing w:val="10"/>
          <w:sz w:val="32"/>
          <w:szCs w:val="32"/>
        </w:rPr>
        <w:t>出资人的资金一并退出时，应聘请具备资质的审计机构进行清算审计，作为确定政府出资退出运营基金的价格依据。</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第三十五条 运营基金终止后,应当在出资人监督下及时组织清算。对归属于政府的出资额和收益（含利息），按照市财政局国库管理制度有关规定及时足额上缴国库。</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第三十六条 有下列情况之一的，市市场监管局可无需其他投资人同意，提前退出运营基金：</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（一）自市市场监管局批复后超过6个月，运营基金未按规定程序和时间要求完成相关工作并正式设立的；</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（二）运营基金首次出资后9个月以上，基金未开展业务的；</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（三）运营基金存在较大亏损，影响委托资金安全的；</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（四）运营基金未按照合伙协议约定的情形投资。</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第三十七条 运营基金绩效达不到预期效果、投资进度缓慢或资金长期闲置的，市市场监管局可予以通报批评，并责令其限期整改。逾期不改正的，可采取扣减基金管理费等措施，具体以合伙协议另行约定。</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第三十八条 运营基金绩效连续2年考核为不及格的情况下，市市场监管局报经市政府批准后，可按照合伙协议相关约定提前全部或部分退出。</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spacing w:val="10"/>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黑体" w:hAnsi="黑体" w:eastAsia="黑体"/>
          <w:spacing w:val="10"/>
          <w:sz w:val="32"/>
          <w:szCs w:val="32"/>
        </w:rPr>
      </w:pPr>
      <w:r>
        <w:rPr>
          <w:rFonts w:hint="eastAsia" w:ascii="黑体" w:hAnsi="黑体" w:eastAsia="黑体"/>
          <w:spacing w:val="10"/>
          <w:sz w:val="32"/>
          <w:szCs w:val="32"/>
        </w:rPr>
        <w:t>第九章 附则</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第三十九条 本办法由市市场监管局负责解释。</w:t>
      </w:r>
    </w:p>
    <w:p>
      <w:pPr>
        <w:keepNext w:val="0"/>
        <w:keepLines w:val="0"/>
        <w:pageBreakBefore w:val="0"/>
        <w:widowControl w:val="0"/>
        <w:kinsoku/>
        <w:wordWrap/>
        <w:overflowPunct/>
        <w:topLinePunct w:val="0"/>
        <w:autoSpaceDE/>
        <w:autoSpaceDN/>
        <w:bidi w:val="0"/>
        <w:adjustRightInd/>
        <w:snapToGrid/>
        <w:spacing w:line="579" w:lineRule="exact"/>
        <w:ind w:firstLine="680" w:firstLineChars="200"/>
        <w:textAlignment w:val="auto"/>
        <w:rPr>
          <w:rFonts w:ascii="仿宋_GB2312" w:hAnsi="仿宋" w:eastAsia="仿宋_GB2312"/>
          <w:spacing w:val="10"/>
          <w:sz w:val="32"/>
          <w:szCs w:val="32"/>
        </w:rPr>
      </w:pPr>
      <w:r>
        <w:rPr>
          <w:rFonts w:hint="eastAsia" w:ascii="仿宋_GB2312" w:hAnsi="仿宋" w:eastAsia="仿宋_GB2312"/>
          <w:spacing w:val="10"/>
          <w:sz w:val="32"/>
          <w:szCs w:val="32"/>
        </w:rPr>
        <w:t>第四十条 本办法自印发之日起试行，试行期两年。本办法发布后，运营基金相关协议的拟定以及后续管理应按照本办法规定执行。</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仿宋_GB2312" w:hAnsi="宋体" w:eastAsia="仿宋_GB2312"/>
          <w:spacing w:val="10"/>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1658" w:leftChars="304" w:hanging="1020" w:hangingChars="300"/>
        <w:textAlignment w:val="auto"/>
        <w:rPr>
          <w:rFonts w:ascii="仿宋_GB2312" w:hAnsi="仿宋" w:eastAsia="仿宋_GB2312"/>
          <w:sz w:val="32"/>
          <w:szCs w:val="32"/>
        </w:rPr>
      </w:pPr>
      <w:r>
        <w:rPr>
          <w:rFonts w:hint="eastAsia" w:ascii="仿宋_GB2312" w:hAnsi="仿宋" w:eastAsia="仿宋_GB2312"/>
          <w:spacing w:val="10"/>
          <w:sz w:val="32"/>
          <w:szCs w:val="32"/>
        </w:rPr>
        <w:t>附件：</w:t>
      </w:r>
      <w:r>
        <w:rPr>
          <w:rFonts w:hint="eastAsia" w:ascii="仿宋_GB2312" w:hAnsi="仿宋" w:eastAsia="仿宋_GB2312"/>
          <w:sz w:val="32"/>
          <w:szCs w:val="32"/>
        </w:rPr>
        <w:t>深圳市知识产权运营基金遴选基金管理人评分标准</w:t>
      </w:r>
    </w:p>
    <w:p>
      <w:pPr>
        <w:keepNext w:val="0"/>
        <w:keepLines w:val="0"/>
        <w:pageBreakBefore w:val="0"/>
        <w:widowControl w:val="0"/>
        <w:kinsoku/>
        <w:wordWrap/>
        <w:overflowPunct/>
        <w:topLinePunct w:val="0"/>
        <w:autoSpaceDE/>
        <w:autoSpaceDN/>
        <w:bidi w:val="0"/>
        <w:adjustRightInd/>
        <w:snapToGrid/>
        <w:spacing w:after="157" w:afterLines="50" w:line="579" w:lineRule="exact"/>
        <w:textAlignment w:val="auto"/>
        <w:rPr>
          <w:b/>
          <w:sz w:val="32"/>
          <w:szCs w:val="32"/>
        </w:rPr>
      </w:pPr>
      <w:r>
        <w:rPr>
          <w:b/>
          <w:sz w:val="32"/>
          <w:szCs w:val="32"/>
        </w:rPr>
        <w:br w:type="page"/>
      </w:r>
      <w:r>
        <w:rPr>
          <w:rFonts w:hint="eastAsia" w:ascii="黑体" w:hAnsi="黑体" w:eastAsia="黑体" w:cs="黑体"/>
          <w:bCs/>
          <w:sz w:val="32"/>
          <w:szCs w:val="32"/>
        </w:rPr>
        <w:t>附件</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pacing w:val="10"/>
          <w:sz w:val="32"/>
          <w:szCs w:val="32"/>
        </w:rPr>
      </w:pPr>
      <w:r>
        <w:rPr>
          <w:rFonts w:hint="eastAsia" w:ascii="宋体" w:hAnsi="宋体" w:eastAsia="宋体" w:cs="宋体"/>
          <w:b/>
          <w:bCs/>
          <w:spacing w:val="10"/>
          <w:sz w:val="32"/>
          <w:szCs w:val="32"/>
        </w:rPr>
        <w:t>深圳市知识产权运营基金遴选基金管理人</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b/>
          <w:bCs/>
          <w:spacing w:val="10"/>
          <w:sz w:val="32"/>
          <w:szCs w:val="32"/>
        </w:rPr>
      </w:pPr>
      <w:r>
        <w:rPr>
          <w:rFonts w:hint="eastAsia" w:ascii="宋体" w:hAnsi="宋体" w:eastAsia="宋体" w:cs="宋体"/>
          <w:b/>
          <w:bCs/>
          <w:spacing w:val="10"/>
          <w:sz w:val="32"/>
          <w:szCs w:val="32"/>
        </w:rPr>
        <w:t>评分标准</w:t>
      </w:r>
    </w:p>
    <w:tbl>
      <w:tblPr>
        <w:tblStyle w:val="3"/>
        <w:tblW w:w="83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33"/>
        <w:gridCol w:w="1938"/>
        <w:gridCol w:w="3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blHeader/>
          <w:jc w:val="center"/>
        </w:trPr>
        <w:tc>
          <w:tcPr>
            <w:tcW w:w="1560" w:type="dxa"/>
            <w:vAlign w:val="center"/>
          </w:tcPr>
          <w:p>
            <w:pPr>
              <w:jc w:val="center"/>
              <w:rPr>
                <w:rFonts w:ascii="黑体" w:eastAsia="黑体"/>
                <w:sz w:val="28"/>
                <w:szCs w:val="28"/>
              </w:rPr>
            </w:pPr>
            <w:r>
              <w:rPr>
                <w:rFonts w:hint="eastAsia" w:ascii="黑体" w:eastAsia="黑体"/>
                <w:sz w:val="28"/>
                <w:szCs w:val="28"/>
              </w:rPr>
              <w:t>一级指标</w:t>
            </w:r>
          </w:p>
        </w:tc>
        <w:tc>
          <w:tcPr>
            <w:tcW w:w="1733" w:type="dxa"/>
            <w:vAlign w:val="center"/>
          </w:tcPr>
          <w:p>
            <w:pPr>
              <w:jc w:val="center"/>
              <w:rPr>
                <w:rFonts w:ascii="黑体" w:eastAsia="黑体"/>
                <w:sz w:val="28"/>
                <w:szCs w:val="28"/>
              </w:rPr>
            </w:pPr>
            <w:r>
              <w:rPr>
                <w:rFonts w:hint="eastAsia" w:ascii="黑体" w:eastAsia="黑体"/>
                <w:sz w:val="28"/>
                <w:szCs w:val="28"/>
              </w:rPr>
              <w:t>二级指标</w:t>
            </w:r>
          </w:p>
        </w:tc>
        <w:tc>
          <w:tcPr>
            <w:tcW w:w="1938" w:type="dxa"/>
            <w:vAlign w:val="center"/>
          </w:tcPr>
          <w:p>
            <w:pPr>
              <w:jc w:val="center"/>
              <w:rPr>
                <w:rFonts w:ascii="黑体" w:eastAsia="黑体"/>
                <w:sz w:val="28"/>
                <w:szCs w:val="28"/>
              </w:rPr>
            </w:pPr>
            <w:r>
              <w:rPr>
                <w:rFonts w:hint="eastAsia" w:ascii="黑体" w:eastAsia="黑体"/>
                <w:sz w:val="28"/>
                <w:szCs w:val="28"/>
              </w:rPr>
              <w:t>评分要点</w:t>
            </w:r>
          </w:p>
        </w:tc>
        <w:tc>
          <w:tcPr>
            <w:tcW w:w="3128" w:type="dxa"/>
            <w:vAlign w:val="center"/>
          </w:tcPr>
          <w:p>
            <w:pPr>
              <w:jc w:val="center"/>
              <w:rPr>
                <w:rFonts w:ascii="黑体" w:eastAsia="黑体"/>
                <w:sz w:val="28"/>
                <w:szCs w:val="28"/>
              </w:rPr>
            </w:pPr>
            <w:r>
              <w:rPr>
                <w:rFonts w:hint="eastAsia" w:ascii="黑体" w:eastAsia="黑体"/>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1" w:hRule="atLeast"/>
          <w:jc w:val="center"/>
        </w:trPr>
        <w:tc>
          <w:tcPr>
            <w:tcW w:w="1560" w:type="dxa"/>
            <w:vMerge w:val="restart"/>
            <w:vAlign w:val="center"/>
          </w:tcPr>
          <w:p>
            <w:pPr>
              <w:jc w:val="center"/>
              <w:rPr>
                <w:rFonts w:ascii="宋体" w:hAnsi="宋体"/>
                <w:b/>
                <w:sz w:val="24"/>
              </w:rPr>
            </w:pPr>
            <w:r>
              <w:rPr>
                <w:rFonts w:hint="eastAsia" w:ascii="宋体" w:hAnsi="宋体"/>
                <w:b/>
                <w:sz w:val="24"/>
              </w:rPr>
              <w:t>申报机构综合实力</w:t>
            </w:r>
          </w:p>
          <w:p>
            <w:pPr>
              <w:jc w:val="center"/>
              <w:rPr>
                <w:rFonts w:ascii="宋体" w:hAnsi="宋体"/>
                <w:sz w:val="24"/>
              </w:rPr>
            </w:pPr>
            <w:r>
              <w:rPr>
                <w:rFonts w:hint="eastAsia" w:ascii="宋体" w:hAnsi="宋体"/>
                <w:b/>
                <w:sz w:val="24"/>
              </w:rPr>
              <w:t>（55分）</w:t>
            </w:r>
          </w:p>
        </w:tc>
        <w:tc>
          <w:tcPr>
            <w:tcW w:w="1733" w:type="dxa"/>
            <w:vMerge w:val="restart"/>
            <w:vAlign w:val="center"/>
          </w:tcPr>
          <w:p>
            <w:pPr>
              <w:jc w:val="center"/>
              <w:rPr>
                <w:rFonts w:ascii="宋体" w:hAnsi="宋体"/>
                <w:sz w:val="24"/>
              </w:rPr>
            </w:pPr>
          </w:p>
          <w:p>
            <w:pPr>
              <w:jc w:val="center"/>
              <w:rPr>
                <w:rFonts w:ascii="宋体" w:hAnsi="宋体"/>
                <w:sz w:val="24"/>
              </w:rPr>
            </w:pPr>
            <w:r>
              <w:rPr>
                <w:rFonts w:hint="eastAsia" w:ascii="宋体" w:hAnsi="宋体"/>
                <w:sz w:val="24"/>
              </w:rPr>
              <w:t>申报机构的基本情况（35分）</w:t>
            </w:r>
          </w:p>
        </w:tc>
        <w:tc>
          <w:tcPr>
            <w:tcW w:w="1938" w:type="dxa"/>
            <w:vAlign w:val="center"/>
          </w:tcPr>
          <w:p>
            <w:pPr>
              <w:jc w:val="center"/>
              <w:rPr>
                <w:rFonts w:ascii="宋体" w:hAnsi="宋体"/>
                <w:sz w:val="24"/>
              </w:rPr>
            </w:pPr>
          </w:p>
          <w:p>
            <w:pPr>
              <w:jc w:val="center"/>
              <w:rPr>
                <w:rFonts w:ascii="宋体" w:hAnsi="宋体"/>
                <w:sz w:val="24"/>
              </w:rPr>
            </w:pPr>
            <w:r>
              <w:rPr>
                <w:rFonts w:hint="eastAsia" w:ascii="宋体" w:hAnsi="宋体"/>
                <w:sz w:val="24"/>
              </w:rPr>
              <w:t>注册资本额（</w:t>
            </w:r>
            <w:r>
              <w:rPr>
                <w:rFonts w:ascii="宋体" w:hAnsi="宋体"/>
                <w:sz w:val="24"/>
              </w:rPr>
              <w:t>5</w:t>
            </w:r>
            <w:r>
              <w:rPr>
                <w:rFonts w:hint="eastAsia" w:ascii="宋体" w:hAnsi="宋体"/>
                <w:sz w:val="24"/>
              </w:rPr>
              <w:t>分）</w:t>
            </w:r>
          </w:p>
        </w:tc>
        <w:tc>
          <w:tcPr>
            <w:tcW w:w="3128" w:type="dxa"/>
            <w:vAlign w:val="center"/>
          </w:tcPr>
          <w:p>
            <w:pPr>
              <w:jc w:val="center"/>
              <w:rPr>
                <w:rFonts w:ascii="宋体" w:hAnsi="宋体"/>
                <w:sz w:val="24"/>
              </w:rPr>
            </w:pPr>
            <w:r>
              <w:rPr>
                <w:rFonts w:ascii="宋体" w:hAnsi="宋体"/>
                <w:sz w:val="24"/>
              </w:rPr>
              <w:t>5</w:t>
            </w:r>
            <w:r>
              <w:rPr>
                <w:rFonts w:hint="eastAsia" w:ascii="宋体" w:hAnsi="宋体"/>
                <w:sz w:val="24"/>
              </w:rPr>
              <w:t>亿以上：</w:t>
            </w:r>
            <w:r>
              <w:rPr>
                <w:rFonts w:ascii="宋体" w:hAnsi="宋体"/>
                <w:sz w:val="24"/>
              </w:rPr>
              <w:t>5</w:t>
            </w:r>
            <w:r>
              <w:rPr>
                <w:rFonts w:hint="eastAsia" w:ascii="宋体" w:hAnsi="宋体"/>
                <w:sz w:val="24"/>
              </w:rPr>
              <w:t>分；</w:t>
            </w:r>
          </w:p>
          <w:p>
            <w:pPr>
              <w:jc w:val="center"/>
              <w:rPr>
                <w:rFonts w:ascii="宋体" w:hAnsi="宋体"/>
                <w:sz w:val="24"/>
              </w:rPr>
            </w:pPr>
            <w:r>
              <w:rPr>
                <w:rFonts w:hint="eastAsia" w:ascii="宋体" w:hAnsi="宋体"/>
                <w:sz w:val="24"/>
              </w:rPr>
              <w:t>1亿-5亿：</w:t>
            </w:r>
            <w:r>
              <w:rPr>
                <w:rFonts w:ascii="宋体" w:hAnsi="宋体"/>
                <w:sz w:val="24"/>
              </w:rPr>
              <w:t>4</w:t>
            </w:r>
            <w:r>
              <w:rPr>
                <w:rFonts w:hint="eastAsia" w:ascii="宋体" w:hAnsi="宋体"/>
                <w:sz w:val="24"/>
              </w:rPr>
              <w:t>分；</w:t>
            </w:r>
          </w:p>
          <w:p>
            <w:pPr>
              <w:jc w:val="center"/>
              <w:rPr>
                <w:rFonts w:ascii="宋体" w:hAnsi="宋体"/>
                <w:sz w:val="24"/>
              </w:rPr>
            </w:pPr>
            <w:r>
              <w:rPr>
                <w:rFonts w:hint="eastAsia" w:ascii="宋体" w:hAnsi="宋体"/>
                <w:sz w:val="24"/>
              </w:rPr>
              <w:t>1亿以下：</w:t>
            </w:r>
            <w:r>
              <w:rPr>
                <w:rFonts w:ascii="宋体" w:hAnsi="宋体"/>
                <w:sz w:val="24"/>
              </w:rPr>
              <w:t>3</w:t>
            </w:r>
            <w:r>
              <w:rPr>
                <w:rFonts w:hint="eastAsia" w:ascii="宋体" w:hAnsi="宋体"/>
                <w:sz w:val="24"/>
              </w:rPr>
              <w:t>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60" w:type="dxa"/>
            <w:vMerge w:val="continue"/>
            <w:vAlign w:val="center"/>
          </w:tcPr>
          <w:p>
            <w:pPr>
              <w:jc w:val="center"/>
              <w:rPr>
                <w:rFonts w:ascii="宋体" w:hAnsi="宋体"/>
                <w:b/>
                <w:sz w:val="24"/>
              </w:rPr>
            </w:pPr>
          </w:p>
        </w:tc>
        <w:tc>
          <w:tcPr>
            <w:tcW w:w="1733" w:type="dxa"/>
            <w:vMerge w:val="continue"/>
            <w:vAlign w:val="center"/>
          </w:tcPr>
          <w:p>
            <w:pPr>
              <w:jc w:val="center"/>
              <w:rPr>
                <w:rFonts w:ascii="宋体" w:hAnsi="宋体"/>
                <w:sz w:val="24"/>
              </w:rPr>
            </w:pPr>
          </w:p>
        </w:tc>
        <w:tc>
          <w:tcPr>
            <w:tcW w:w="1938" w:type="dxa"/>
            <w:vAlign w:val="center"/>
          </w:tcPr>
          <w:p>
            <w:pPr>
              <w:jc w:val="center"/>
              <w:rPr>
                <w:rFonts w:ascii="宋体" w:hAnsi="宋体"/>
                <w:sz w:val="24"/>
              </w:rPr>
            </w:pPr>
            <w:r>
              <w:rPr>
                <w:rFonts w:hint="eastAsia" w:ascii="宋体" w:hAnsi="宋体"/>
                <w:sz w:val="24"/>
              </w:rPr>
              <w:t>股东情况（</w:t>
            </w:r>
            <w:r>
              <w:rPr>
                <w:rFonts w:ascii="宋体" w:hAnsi="宋体"/>
                <w:sz w:val="24"/>
              </w:rPr>
              <w:t>15</w:t>
            </w:r>
            <w:r>
              <w:rPr>
                <w:rFonts w:hint="eastAsia" w:ascii="宋体" w:hAnsi="宋体"/>
                <w:sz w:val="24"/>
              </w:rPr>
              <w:t>分）</w:t>
            </w:r>
          </w:p>
        </w:tc>
        <w:tc>
          <w:tcPr>
            <w:tcW w:w="3128" w:type="dxa"/>
            <w:vAlign w:val="center"/>
          </w:tcPr>
          <w:p>
            <w:pPr>
              <w:jc w:val="center"/>
              <w:rPr>
                <w:rFonts w:ascii="宋体" w:hAnsi="宋体"/>
                <w:sz w:val="24"/>
              </w:rPr>
            </w:pPr>
            <w:r>
              <w:rPr>
                <w:rFonts w:hint="eastAsia" w:ascii="宋体" w:hAnsi="宋体"/>
                <w:sz w:val="24"/>
              </w:rPr>
              <w:t>控股股东为央企或本地国有控股的：</w:t>
            </w:r>
            <w:r>
              <w:rPr>
                <w:rFonts w:ascii="宋体" w:hAnsi="宋体"/>
                <w:sz w:val="24"/>
              </w:rPr>
              <w:t>15</w:t>
            </w:r>
            <w:r>
              <w:rPr>
                <w:rFonts w:hint="eastAsia" w:ascii="宋体" w:hAnsi="宋体"/>
                <w:sz w:val="24"/>
              </w:rPr>
              <w:t>分；</w:t>
            </w:r>
          </w:p>
          <w:p>
            <w:pPr>
              <w:jc w:val="center"/>
              <w:rPr>
                <w:rFonts w:ascii="宋体" w:hAnsi="宋体"/>
                <w:sz w:val="24"/>
              </w:rPr>
            </w:pPr>
            <w:r>
              <w:rPr>
                <w:rFonts w:hint="eastAsia" w:ascii="宋体" w:hAnsi="宋体"/>
                <w:sz w:val="24"/>
              </w:rPr>
              <w:t>控股股东为非央企或本地国有控股的：</w:t>
            </w:r>
            <w:r>
              <w:rPr>
                <w:rFonts w:ascii="宋体" w:hAnsi="宋体"/>
                <w:sz w:val="24"/>
              </w:rPr>
              <w:t>5</w:t>
            </w:r>
            <w:r>
              <w:rPr>
                <w:rFonts w:hint="eastAsia" w:ascii="宋体" w:hAnsi="宋体"/>
                <w:sz w:val="24"/>
              </w:rPr>
              <w:t>分及以下。</w:t>
            </w: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2" w:hRule="atLeast"/>
          <w:jc w:val="center"/>
        </w:trPr>
        <w:tc>
          <w:tcPr>
            <w:tcW w:w="1560" w:type="dxa"/>
            <w:vMerge w:val="continue"/>
            <w:vAlign w:val="center"/>
          </w:tcPr>
          <w:p>
            <w:pPr>
              <w:jc w:val="center"/>
              <w:rPr>
                <w:rFonts w:ascii="宋体" w:hAnsi="宋体"/>
                <w:b/>
                <w:sz w:val="24"/>
              </w:rPr>
            </w:pPr>
          </w:p>
        </w:tc>
        <w:tc>
          <w:tcPr>
            <w:tcW w:w="1733" w:type="dxa"/>
            <w:vMerge w:val="continue"/>
            <w:vAlign w:val="center"/>
          </w:tcPr>
          <w:p>
            <w:pPr>
              <w:jc w:val="center"/>
              <w:rPr>
                <w:rFonts w:ascii="宋体" w:hAnsi="宋体"/>
                <w:sz w:val="24"/>
              </w:rPr>
            </w:pPr>
          </w:p>
        </w:tc>
        <w:tc>
          <w:tcPr>
            <w:tcW w:w="1938" w:type="dxa"/>
            <w:vAlign w:val="center"/>
          </w:tcPr>
          <w:p>
            <w:pPr>
              <w:jc w:val="center"/>
              <w:rPr>
                <w:rFonts w:ascii="宋体" w:hAnsi="宋体"/>
                <w:sz w:val="24"/>
              </w:rPr>
            </w:pPr>
            <w:r>
              <w:rPr>
                <w:rFonts w:hint="eastAsia" w:ascii="宋体" w:hAnsi="宋体"/>
                <w:sz w:val="24"/>
              </w:rPr>
              <w:t>知识产权业务</w:t>
            </w:r>
          </w:p>
          <w:p>
            <w:pPr>
              <w:jc w:val="center"/>
              <w:rPr>
                <w:rFonts w:ascii="宋体" w:hAnsi="宋体"/>
                <w:sz w:val="24"/>
              </w:rPr>
            </w:pPr>
            <w:r>
              <w:rPr>
                <w:rFonts w:hint="eastAsia" w:ascii="宋体" w:hAnsi="宋体"/>
                <w:sz w:val="24"/>
              </w:rPr>
              <w:t>经验（提供相关证明文件）</w:t>
            </w:r>
          </w:p>
          <w:p>
            <w:pPr>
              <w:jc w:val="center"/>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分）</w:t>
            </w:r>
          </w:p>
        </w:tc>
        <w:tc>
          <w:tcPr>
            <w:tcW w:w="3128" w:type="dxa"/>
            <w:vAlign w:val="center"/>
          </w:tcPr>
          <w:p>
            <w:pPr>
              <w:jc w:val="center"/>
              <w:rPr>
                <w:rFonts w:ascii="宋体" w:hAnsi="宋体"/>
                <w:sz w:val="24"/>
              </w:rPr>
            </w:pPr>
            <w:r>
              <w:rPr>
                <w:rFonts w:hint="eastAsia" w:ascii="宋体" w:hAnsi="宋体"/>
                <w:sz w:val="24"/>
              </w:rPr>
              <w:t>有知识产权相关服务产品</w:t>
            </w:r>
          </w:p>
          <w:p>
            <w:pPr>
              <w:jc w:val="center"/>
              <w:rPr>
                <w:rFonts w:ascii="宋体" w:hAnsi="宋体"/>
                <w:sz w:val="24"/>
              </w:rPr>
            </w:pPr>
            <w:r>
              <w:rPr>
                <w:rFonts w:hint="eastAsia" w:ascii="宋体" w:hAnsi="宋体"/>
                <w:sz w:val="24"/>
              </w:rPr>
              <w:t>经验且稳定运行满6个月以上：</w:t>
            </w:r>
            <w:r>
              <w:rPr>
                <w:rFonts w:ascii="宋体" w:hAnsi="宋体"/>
                <w:sz w:val="24"/>
              </w:rPr>
              <w:t>6</w:t>
            </w:r>
            <w:r>
              <w:rPr>
                <w:rFonts w:hint="eastAsia" w:ascii="宋体" w:hAnsi="宋体"/>
                <w:sz w:val="24"/>
              </w:rPr>
              <w:t>-</w:t>
            </w:r>
            <w:r>
              <w:rPr>
                <w:rFonts w:ascii="宋体" w:hAnsi="宋体"/>
                <w:sz w:val="24"/>
              </w:rPr>
              <w:t>10</w:t>
            </w:r>
            <w:r>
              <w:rPr>
                <w:rFonts w:hint="eastAsia" w:ascii="宋体" w:hAnsi="宋体"/>
                <w:sz w:val="24"/>
              </w:rPr>
              <w:t>分；</w:t>
            </w:r>
          </w:p>
          <w:p>
            <w:pPr>
              <w:jc w:val="center"/>
              <w:rPr>
                <w:rFonts w:ascii="宋体" w:hAnsi="宋体"/>
                <w:sz w:val="24"/>
              </w:rPr>
            </w:pPr>
            <w:r>
              <w:rPr>
                <w:rFonts w:hint="eastAsia" w:ascii="宋体" w:hAnsi="宋体"/>
                <w:sz w:val="24"/>
              </w:rPr>
              <w:t>没有知识产权相关服务产品经验；3分及以下。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jc w:val="center"/>
        </w:trPr>
        <w:tc>
          <w:tcPr>
            <w:tcW w:w="1560" w:type="dxa"/>
            <w:vMerge w:val="continue"/>
            <w:vAlign w:val="center"/>
          </w:tcPr>
          <w:p>
            <w:pPr>
              <w:jc w:val="center"/>
              <w:rPr>
                <w:rFonts w:ascii="宋体" w:hAnsi="宋体"/>
                <w:sz w:val="24"/>
              </w:rPr>
            </w:pPr>
          </w:p>
        </w:tc>
        <w:tc>
          <w:tcPr>
            <w:tcW w:w="1733" w:type="dxa"/>
            <w:vMerge w:val="continue"/>
            <w:vAlign w:val="center"/>
          </w:tcPr>
          <w:p>
            <w:pPr>
              <w:jc w:val="center"/>
              <w:rPr>
                <w:rFonts w:ascii="宋体" w:hAnsi="宋体"/>
                <w:sz w:val="24"/>
              </w:rPr>
            </w:pPr>
          </w:p>
        </w:tc>
        <w:tc>
          <w:tcPr>
            <w:tcW w:w="1938" w:type="dxa"/>
            <w:vAlign w:val="center"/>
          </w:tcPr>
          <w:p>
            <w:pPr>
              <w:jc w:val="center"/>
              <w:rPr>
                <w:rFonts w:ascii="宋体" w:hAnsi="宋体"/>
                <w:sz w:val="24"/>
              </w:rPr>
            </w:pPr>
            <w:r>
              <w:rPr>
                <w:rFonts w:hint="eastAsia" w:ascii="宋体" w:hAnsi="宋体"/>
                <w:sz w:val="24"/>
              </w:rPr>
              <w:t>知识产权业务</w:t>
            </w:r>
          </w:p>
          <w:p>
            <w:pPr>
              <w:jc w:val="center"/>
              <w:rPr>
                <w:rFonts w:ascii="宋体" w:hAnsi="宋体"/>
                <w:sz w:val="24"/>
              </w:rPr>
            </w:pPr>
            <w:r>
              <w:rPr>
                <w:rFonts w:hint="eastAsia" w:ascii="宋体" w:hAnsi="宋体"/>
                <w:sz w:val="24"/>
              </w:rPr>
              <w:t>合作经验（提供合作协议证明）</w:t>
            </w:r>
          </w:p>
          <w:p>
            <w:pPr>
              <w:jc w:val="center"/>
              <w:rPr>
                <w:rFonts w:ascii="宋体" w:hAnsi="宋体"/>
                <w:sz w:val="24"/>
              </w:rPr>
            </w:pPr>
            <w:r>
              <w:rPr>
                <w:rFonts w:ascii="宋体" w:hAnsi="宋体"/>
                <w:sz w:val="24"/>
              </w:rPr>
              <w:t>（</w:t>
            </w:r>
            <w:r>
              <w:rPr>
                <w:rFonts w:hint="eastAsia" w:ascii="宋体" w:hAnsi="宋体"/>
                <w:sz w:val="24"/>
              </w:rPr>
              <w:t>5分</w:t>
            </w:r>
            <w:r>
              <w:rPr>
                <w:rFonts w:ascii="宋体" w:hAnsi="宋体"/>
                <w:sz w:val="24"/>
              </w:rPr>
              <w:t>）</w:t>
            </w:r>
          </w:p>
        </w:tc>
        <w:tc>
          <w:tcPr>
            <w:tcW w:w="3128" w:type="dxa"/>
            <w:vAlign w:val="center"/>
          </w:tcPr>
          <w:p>
            <w:pPr>
              <w:jc w:val="center"/>
              <w:rPr>
                <w:rFonts w:ascii="宋体" w:hAnsi="宋体"/>
                <w:sz w:val="24"/>
              </w:rPr>
            </w:pPr>
            <w:r>
              <w:rPr>
                <w:rFonts w:hint="eastAsia" w:ascii="宋体" w:hAnsi="宋体"/>
                <w:sz w:val="24"/>
              </w:rPr>
              <w:t>与专业知识产权机构</w:t>
            </w:r>
          </w:p>
          <w:p>
            <w:pPr>
              <w:jc w:val="center"/>
              <w:rPr>
                <w:rFonts w:ascii="宋体" w:hAnsi="宋体"/>
                <w:sz w:val="24"/>
              </w:rPr>
            </w:pPr>
            <w:r>
              <w:rPr>
                <w:rFonts w:hint="eastAsia" w:ascii="宋体" w:hAnsi="宋体"/>
                <w:sz w:val="24"/>
              </w:rPr>
              <w:t>有合作且有产品落地运行满6个月以上：5分；</w:t>
            </w:r>
          </w:p>
          <w:p>
            <w:pPr>
              <w:jc w:val="center"/>
              <w:rPr>
                <w:rFonts w:ascii="宋体" w:hAnsi="宋体"/>
                <w:sz w:val="24"/>
              </w:rPr>
            </w:pPr>
            <w:r>
              <w:rPr>
                <w:rFonts w:hint="eastAsia" w:ascii="宋体" w:hAnsi="宋体"/>
                <w:sz w:val="24"/>
              </w:rPr>
              <w:t>与专业知识产权机构</w:t>
            </w:r>
          </w:p>
          <w:p>
            <w:pPr>
              <w:jc w:val="center"/>
              <w:rPr>
                <w:rFonts w:ascii="宋体" w:hAnsi="宋体"/>
                <w:sz w:val="24"/>
              </w:rPr>
            </w:pPr>
            <w:r>
              <w:rPr>
                <w:rFonts w:hint="eastAsia" w:ascii="宋体" w:hAnsi="宋体"/>
                <w:sz w:val="24"/>
              </w:rPr>
              <w:t>没有合作：3分及以下。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jc w:val="center"/>
        </w:trPr>
        <w:tc>
          <w:tcPr>
            <w:tcW w:w="1560" w:type="dxa"/>
            <w:vMerge w:val="continue"/>
            <w:vAlign w:val="center"/>
          </w:tcPr>
          <w:p>
            <w:pPr>
              <w:jc w:val="center"/>
              <w:rPr>
                <w:rFonts w:ascii="宋体" w:hAnsi="宋体"/>
                <w:sz w:val="24"/>
              </w:rPr>
            </w:pPr>
          </w:p>
        </w:tc>
        <w:tc>
          <w:tcPr>
            <w:tcW w:w="1733" w:type="dxa"/>
            <w:vAlign w:val="center"/>
          </w:tcPr>
          <w:p>
            <w:pPr>
              <w:jc w:val="center"/>
              <w:rPr>
                <w:rFonts w:ascii="宋体" w:hAnsi="宋体"/>
                <w:sz w:val="24"/>
              </w:rPr>
            </w:pPr>
            <w:r>
              <w:rPr>
                <w:rFonts w:hint="eastAsia" w:ascii="宋体" w:hAnsi="宋体"/>
                <w:sz w:val="24"/>
              </w:rPr>
              <w:t>申报机构基金管理情况</w:t>
            </w:r>
          </w:p>
          <w:p>
            <w:pPr>
              <w:jc w:val="center"/>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分）</w:t>
            </w:r>
          </w:p>
        </w:tc>
        <w:tc>
          <w:tcPr>
            <w:tcW w:w="1938" w:type="dxa"/>
            <w:vAlign w:val="center"/>
          </w:tcPr>
          <w:p>
            <w:pPr>
              <w:jc w:val="center"/>
              <w:rPr>
                <w:rFonts w:ascii="宋体" w:hAnsi="宋体"/>
                <w:sz w:val="24"/>
              </w:rPr>
            </w:pPr>
          </w:p>
          <w:p>
            <w:pPr>
              <w:jc w:val="center"/>
              <w:rPr>
                <w:rFonts w:ascii="宋体" w:hAnsi="宋体"/>
                <w:sz w:val="24"/>
              </w:rPr>
            </w:pPr>
            <w:r>
              <w:rPr>
                <w:rFonts w:hint="eastAsia" w:ascii="宋体" w:hAnsi="宋体"/>
                <w:sz w:val="24"/>
              </w:rPr>
              <w:t>资产管理规模（</w:t>
            </w:r>
            <w:r>
              <w:rPr>
                <w:rFonts w:ascii="宋体" w:hAnsi="宋体"/>
                <w:sz w:val="24"/>
              </w:rPr>
              <w:t>5</w:t>
            </w:r>
            <w:r>
              <w:rPr>
                <w:rFonts w:hint="eastAsia" w:ascii="宋体" w:hAnsi="宋体"/>
                <w:sz w:val="24"/>
              </w:rPr>
              <w:t>分）</w:t>
            </w:r>
          </w:p>
        </w:tc>
        <w:tc>
          <w:tcPr>
            <w:tcW w:w="3128" w:type="dxa"/>
            <w:vAlign w:val="center"/>
          </w:tcPr>
          <w:p>
            <w:pPr>
              <w:jc w:val="center"/>
              <w:rPr>
                <w:rFonts w:ascii="宋体" w:hAnsi="宋体"/>
                <w:sz w:val="24"/>
              </w:rPr>
            </w:pPr>
            <w:r>
              <w:rPr>
                <w:rFonts w:hint="eastAsia" w:ascii="宋体" w:hAnsi="宋体"/>
                <w:sz w:val="24"/>
              </w:rPr>
              <w:t>500亿以上：</w:t>
            </w:r>
            <w:r>
              <w:rPr>
                <w:rFonts w:ascii="宋体" w:hAnsi="宋体"/>
                <w:sz w:val="24"/>
              </w:rPr>
              <w:t>5</w:t>
            </w:r>
            <w:r>
              <w:rPr>
                <w:rFonts w:hint="eastAsia" w:ascii="宋体" w:hAnsi="宋体"/>
                <w:sz w:val="24"/>
              </w:rPr>
              <w:t>分；</w:t>
            </w:r>
          </w:p>
          <w:p>
            <w:pPr>
              <w:jc w:val="center"/>
              <w:rPr>
                <w:rFonts w:ascii="宋体" w:hAnsi="宋体"/>
                <w:sz w:val="24"/>
              </w:rPr>
            </w:pPr>
            <w:r>
              <w:rPr>
                <w:rFonts w:hint="eastAsia" w:ascii="宋体" w:hAnsi="宋体"/>
                <w:sz w:val="24"/>
              </w:rPr>
              <w:t>100亿-500亿：</w:t>
            </w:r>
            <w:r>
              <w:rPr>
                <w:rFonts w:ascii="宋体" w:hAnsi="宋体"/>
                <w:sz w:val="24"/>
              </w:rPr>
              <w:t>4</w:t>
            </w:r>
            <w:r>
              <w:rPr>
                <w:rFonts w:hint="eastAsia" w:ascii="宋体" w:hAnsi="宋体"/>
                <w:sz w:val="24"/>
              </w:rPr>
              <w:t>分；</w:t>
            </w:r>
          </w:p>
          <w:p>
            <w:pPr>
              <w:jc w:val="center"/>
              <w:rPr>
                <w:rFonts w:ascii="宋体" w:hAnsi="宋体"/>
                <w:sz w:val="24"/>
              </w:rPr>
            </w:pPr>
            <w:r>
              <w:rPr>
                <w:rFonts w:hint="eastAsia" w:ascii="宋体" w:hAnsi="宋体"/>
                <w:sz w:val="24"/>
              </w:rPr>
              <w:t>100亿以下：</w:t>
            </w:r>
            <w:r>
              <w:rPr>
                <w:rFonts w:ascii="宋体" w:hAnsi="宋体"/>
                <w:sz w:val="24"/>
              </w:rPr>
              <w:t>3</w:t>
            </w:r>
            <w:r>
              <w:rPr>
                <w:rFonts w:hint="eastAsia" w:ascii="宋体" w:hAnsi="宋体"/>
                <w:sz w:val="24"/>
              </w:rPr>
              <w:t>分及以下。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60" w:type="dxa"/>
            <w:vMerge w:val="continue"/>
            <w:vAlign w:val="center"/>
          </w:tcPr>
          <w:p>
            <w:pPr>
              <w:jc w:val="center"/>
              <w:rPr>
                <w:rFonts w:ascii="宋体" w:hAnsi="宋体"/>
                <w:sz w:val="24"/>
              </w:rPr>
            </w:pPr>
          </w:p>
        </w:tc>
        <w:tc>
          <w:tcPr>
            <w:tcW w:w="1733" w:type="dxa"/>
            <w:vMerge w:val="restart"/>
            <w:vAlign w:val="center"/>
          </w:tcPr>
          <w:p>
            <w:pPr>
              <w:jc w:val="center"/>
              <w:rPr>
                <w:rFonts w:ascii="宋体" w:hAnsi="宋体"/>
                <w:sz w:val="24"/>
              </w:rPr>
            </w:pPr>
            <w:r>
              <w:rPr>
                <w:rFonts w:hint="eastAsia" w:ascii="宋体" w:hAnsi="宋体"/>
                <w:sz w:val="24"/>
              </w:rPr>
              <w:t>基金管理资质和团队（15分）</w:t>
            </w:r>
          </w:p>
        </w:tc>
        <w:tc>
          <w:tcPr>
            <w:tcW w:w="1938" w:type="dxa"/>
            <w:vAlign w:val="center"/>
          </w:tcPr>
          <w:p>
            <w:pPr>
              <w:jc w:val="center"/>
              <w:rPr>
                <w:rFonts w:ascii="宋体" w:hAnsi="宋体"/>
                <w:sz w:val="24"/>
              </w:rPr>
            </w:pPr>
            <w:r>
              <w:rPr>
                <w:rFonts w:hint="eastAsia" w:ascii="宋体" w:hAnsi="宋体"/>
                <w:sz w:val="24"/>
              </w:rPr>
              <w:t>基金管理资质（提供证明）</w:t>
            </w:r>
          </w:p>
          <w:p>
            <w:pPr>
              <w:jc w:val="center"/>
              <w:rPr>
                <w:rFonts w:ascii="宋体" w:hAnsi="宋体"/>
                <w:sz w:val="24"/>
              </w:rPr>
            </w:pPr>
            <w:r>
              <w:rPr>
                <w:rFonts w:hint="eastAsia" w:ascii="宋体" w:hAnsi="宋体"/>
                <w:sz w:val="24"/>
              </w:rPr>
              <w:t>（10分）</w:t>
            </w:r>
          </w:p>
        </w:tc>
        <w:tc>
          <w:tcPr>
            <w:tcW w:w="3128" w:type="dxa"/>
            <w:vAlign w:val="center"/>
          </w:tcPr>
          <w:p>
            <w:pPr>
              <w:jc w:val="center"/>
              <w:rPr>
                <w:rFonts w:ascii="宋体" w:hAnsi="宋体"/>
                <w:sz w:val="24"/>
              </w:rPr>
            </w:pPr>
            <w:bookmarkStart w:id="0" w:name="_Hlk19398898"/>
            <w:r>
              <w:rPr>
                <w:rFonts w:hint="eastAsia" w:ascii="宋体" w:hAnsi="宋体"/>
                <w:sz w:val="24"/>
              </w:rPr>
              <w:t>具有受证监会监管的持牌金融机构资质</w:t>
            </w:r>
            <w:bookmarkEnd w:id="0"/>
            <w:r>
              <w:rPr>
                <w:rFonts w:hint="eastAsia" w:ascii="宋体" w:hAnsi="宋体"/>
                <w:sz w:val="24"/>
              </w:rPr>
              <w:t>：10分；</w:t>
            </w:r>
          </w:p>
          <w:p>
            <w:r>
              <w:rPr>
                <w:rFonts w:hint="eastAsia" w:ascii="宋体" w:hAnsi="宋体"/>
                <w:sz w:val="24"/>
              </w:rPr>
              <w:t>没有受证监会监管的持牌金融机构资质：3分及以下。</w:t>
            </w:r>
          </w:p>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560" w:type="dxa"/>
            <w:vMerge w:val="continue"/>
            <w:vAlign w:val="center"/>
          </w:tcPr>
          <w:p>
            <w:pPr>
              <w:jc w:val="center"/>
              <w:rPr>
                <w:rFonts w:ascii="宋体" w:hAnsi="宋体"/>
                <w:sz w:val="24"/>
              </w:rPr>
            </w:pPr>
          </w:p>
        </w:tc>
        <w:tc>
          <w:tcPr>
            <w:tcW w:w="1733" w:type="dxa"/>
            <w:vMerge w:val="continue"/>
            <w:vAlign w:val="center"/>
          </w:tcPr>
          <w:p>
            <w:pPr>
              <w:jc w:val="center"/>
              <w:rPr>
                <w:rFonts w:ascii="宋体" w:hAnsi="宋体"/>
                <w:sz w:val="24"/>
              </w:rPr>
            </w:pPr>
          </w:p>
        </w:tc>
        <w:tc>
          <w:tcPr>
            <w:tcW w:w="1938" w:type="dxa"/>
            <w:vAlign w:val="center"/>
          </w:tcPr>
          <w:p>
            <w:pPr>
              <w:jc w:val="center"/>
              <w:rPr>
                <w:rFonts w:ascii="宋体" w:hAnsi="宋体"/>
                <w:sz w:val="24"/>
              </w:rPr>
            </w:pPr>
            <w:r>
              <w:rPr>
                <w:rFonts w:hint="eastAsia" w:ascii="宋体" w:hAnsi="宋体"/>
                <w:sz w:val="24"/>
              </w:rPr>
              <w:t>团队资历与能力</w:t>
            </w:r>
          </w:p>
          <w:p>
            <w:pPr>
              <w:jc w:val="center"/>
              <w:rPr>
                <w:rFonts w:ascii="宋体" w:hAnsi="宋体"/>
                <w:sz w:val="24"/>
              </w:rPr>
            </w:pPr>
            <w:r>
              <w:rPr>
                <w:rFonts w:hint="eastAsia" w:ascii="宋体" w:hAnsi="宋体"/>
                <w:sz w:val="24"/>
              </w:rPr>
              <w:t>（5分）</w:t>
            </w:r>
          </w:p>
        </w:tc>
        <w:tc>
          <w:tcPr>
            <w:tcW w:w="3128" w:type="dxa"/>
            <w:vAlign w:val="center"/>
          </w:tcPr>
          <w:p>
            <w:pPr>
              <w:rPr>
                <w:rFonts w:ascii="宋体" w:hAnsi="宋体"/>
                <w:sz w:val="24"/>
              </w:rPr>
            </w:pPr>
            <w:r>
              <w:rPr>
                <w:rFonts w:hint="eastAsia" w:ascii="宋体" w:hAnsi="宋体"/>
                <w:sz w:val="24"/>
              </w:rPr>
              <w:t>1、提供管理团队主要成员详细的背景与投资项目资历：</w:t>
            </w:r>
          </w:p>
          <w:p>
            <w:pPr>
              <w:rPr>
                <w:rFonts w:ascii="宋体" w:hAnsi="宋体"/>
                <w:sz w:val="24"/>
              </w:rPr>
            </w:pPr>
            <w:r>
              <w:rPr>
                <w:rFonts w:hint="eastAsia" w:ascii="宋体" w:hAnsi="宋体"/>
                <w:sz w:val="24"/>
              </w:rPr>
              <w:t>（5分）</w:t>
            </w:r>
          </w:p>
          <w:p>
            <w:pPr>
              <w:rPr>
                <w:rFonts w:ascii="宋体" w:hAnsi="宋体"/>
                <w:sz w:val="24"/>
              </w:rPr>
            </w:pPr>
            <w:r>
              <w:rPr>
                <w:rFonts w:hint="eastAsia" w:ascii="宋体" w:hAnsi="宋体"/>
                <w:sz w:val="24"/>
              </w:rPr>
              <w:t>2、有主要成员但未能提供详细背景和项目资历资料：</w:t>
            </w:r>
          </w:p>
          <w:p>
            <w:pPr>
              <w:rPr>
                <w:rFonts w:ascii="宋体" w:hAnsi="宋体"/>
                <w:sz w:val="24"/>
              </w:rPr>
            </w:pPr>
            <w:r>
              <w:rPr>
                <w:rFonts w:hint="eastAsia" w:ascii="宋体" w:hAnsi="宋体"/>
                <w:sz w:val="24"/>
              </w:rPr>
              <w:t>（3分或）</w:t>
            </w:r>
          </w:p>
          <w:p>
            <w:pPr>
              <w:rPr>
                <w:rFonts w:ascii="宋体" w:hAnsi="宋体"/>
                <w:sz w:val="24"/>
              </w:rPr>
            </w:pPr>
            <w:r>
              <w:rPr>
                <w:rFonts w:hint="eastAsia" w:ascii="宋体" w:hAnsi="宋体"/>
                <w:sz w:val="24"/>
              </w:rPr>
              <w:t>3、没有提供团队资料：</w:t>
            </w:r>
          </w:p>
          <w:p>
            <w:pPr>
              <w:rPr>
                <w:rFonts w:ascii="宋体" w:hAnsi="宋体"/>
                <w:sz w:val="24"/>
              </w:rPr>
            </w:pPr>
            <w:r>
              <w:rPr>
                <w:rFonts w:hint="eastAsia" w:ascii="宋体" w:hAnsi="宋体"/>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1560" w:type="dxa"/>
            <w:vMerge w:val="restart"/>
            <w:vAlign w:val="center"/>
          </w:tcPr>
          <w:p>
            <w:pPr>
              <w:jc w:val="center"/>
              <w:rPr>
                <w:rFonts w:ascii="宋体" w:hAnsi="宋体"/>
                <w:b/>
                <w:sz w:val="24"/>
              </w:rPr>
            </w:pPr>
            <w:r>
              <w:rPr>
                <w:rFonts w:hint="eastAsia" w:ascii="宋体" w:hAnsi="宋体"/>
                <w:b/>
                <w:sz w:val="24"/>
              </w:rPr>
              <w:t>基金运营和管理规范性与科学性</w:t>
            </w:r>
          </w:p>
          <w:p>
            <w:pPr>
              <w:jc w:val="center"/>
              <w:rPr>
                <w:rFonts w:ascii="宋体" w:hAnsi="宋体"/>
                <w:sz w:val="24"/>
              </w:rPr>
            </w:pPr>
            <w:r>
              <w:rPr>
                <w:rFonts w:hint="eastAsia" w:ascii="宋体" w:hAnsi="宋体"/>
                <w:b/>
                <w:sz w:val="24"/>
              </w:rPr>
              <w:t>（45分）</w:t>
            </w:r>
          </w:p>
        </w:tc>
        <w:tc>
          <w:tcPr>
            <w:tcW w:w="1733" w:type="dxa"/>
            <w:vAlign w:val="center"/>
          </w:tcPr>
          <w:p>
            <w:pPr>
              <w:jc w:val="center"/>
              <w:rPr>
                <w:rFonts w:ascii="宋体" w:hAnsi="宋体"/>
                <w:sz w:val="24"/>
              </w:rPr>
            </w:pPr>
            <w:r>
              <w:rPr>
                <w:rFonts w:hint="eastAsia" w:ascii="宋体" w:hAnsi="宋体"/>
                <w:sz w:val="24"/>
              </w:rPr>
              <w:t>可配套资金规模（10分）</w:t>
            </w:r>
          </w:p>
        </w:tc>
        <w:tc>
          <w:tcPr>
            <w:tcW w:w="1938" w:type="dxa"/>
            <w:vAlign w:val="center"/>
          </w:tcPr>
          <w:p>
            <w:pPr>
              <w:jc w:val="center"/>
              <w:rPr>
                <w:rFonts w:ascii="宋体" w:hAnsi="宋体"/>
                <w:sz w:val="24"/>
              </w:rPr>
            </w:pPr>
            <w:r>
              <w:rPr>
                <w:rFonts w:hint="eastAsia" w:ascii="宋体" w:hAnsi="宋体"/>
                <w:sz w:val="24"/>
              </w:rPr>
              <w:t>除财政拨付资金以外,申报机构可以组织（募集）配套参与基金的规模（10分）</w:t>
            </w:r>
          </w:p>
        </w:tc>
        <w:tc>
          <w:tcPr>
            <w:tcW w:w="3128" w:type="dxa"/>
            <w:vAlign w:val="center"/>
          </w:tcPr>
          <w:p>
            <w:pPr>
              <w:jc w:val="center"/>
              <w:rPr>
                <w:rFonts w:ascii="宋体" w:hAnsi="宋体"/>
                <w:sz w:val="24"/>
              </w:rPr>
            </w:pPr>
            <w:r>
              <w:rPr>
                <w:rFonts w:ascii="宋体" w:hAnsi="宋体"/>
                <w:sz w:val="24"/>
              </w:rPr>
              <w:t>1</w:t>
            </w:r>
            <w:r>
              <w:rPr>
                <w:rFonts w:hint="eastAsia" w:ascii="宋体" w:hAnsi="宋体"/>
                <w:sz w:val="24"/>
              </w:rPr>
              <w:t>亿以上：10分；</w:t>
            </w:r>
          </w:p>
          <w:p>
            <w:pPr>
              <w:jc w:val="center"/>
              <w:rPr>
                <w:rFonts w:ascii="宋体" w:hAnsi="宋体"/>
                <w:sz w:val="24"/>
              </w:rPr>
            </w:pPr>
            <w:r>
              <w:rPr>
                <w:rFonts w:ascii="宋体" w:hAnsi="宋体"/>
                <w:sz w:val="24"/>
              </w:rPr>
              <w:t>0</w:t>
            </w:r>
            <w:r>
              <w:rPr>
                <w:rFonts w:hint="eastAsia" w:ascii="宋体" w:hAnsi="宋体"/>
                <w:sz w:val="24"/>
              </w:rPr>
              <w:t>.5亿-</w:t>
            </w:r>
            <w:r>
              <w:rPr>
                <w:rFonts w:ascii="宋体" w:hAnsi="宋体"/>
                <w:sz w:val="24"/>
              </w:rPr>
              <w:t>1</w:t>
            </w:r>
            <w:r>
              <w:rPr>
                <w:rFonts w:hint="eastAsia" w:ascii="宋体" w:hAnsi="宋体"/>
                <w:sz w:val="24"/>
              </w:rPr>
              <w:t>亿：</w:t>
            </w:r>
            <w:r>
              <w:rPr>
                <w:rFonts w:ascii="宋体" w:hAnsi="宋体"/>
                <w:sz w:val="24"/>
              </w:rPr>
              <w:t>6</w:t>
            </w:r>
            <w:r>
              <w:rPr>
                <w:rFonts w:hint="eastAsia" w:ascii="宋体" w:hAnsi="宋体"/>
                <w:sz w:val="24"/>
              </w:rPr>
              <w:t>分；</w:t>
            </w:r>
          </w:p>
          <w:p>
            <w:pPr>
              <w:jc w:val="center"/>
              <w:rPr>
                <w:rFonts w:ascii="宋体" w:hAnsi="宋体"/>
                <w:sz w:val="24"/>
              </w:rPr>
            </w:pPr>
            <w:r>
              <w:rPr>
                <w:rFonts w:ascii="宋体" w:hAnsi="宋体"/>
                <w:sz w:val="24"/>
              </w:rPr>
              <w:t>0</w:t>
            </w:r>
            <w:r>
              <w:rPr>
                <w:rFonts w:hint="eastAsia" w:ascii="宋体" w:hAnsi="宋体"/>
                <w:sz w:val="24"/>
              </w:rPr>
              <w:t>.</w:t>
            </w:r>
            <w:r>
              <w:rPr>
                <w:rFonts w:ascii="宋体" w:hAnsi="宋体"/>
                <w:sz w:val="24"/>
              </w:rPr>
              <w:t>5</w:t>
            </w:r>
            <w:r>
              <w:rPr>
                <w:rFonts w:hint="eastAsia" w:ascii="宋体" w:hAnsi="宋体"/>
                <w:sz w:val="24"/>
              </w:rPr>
              <w:t>亿元以下：</w:t>
            </w:r>
            <w:r>
              <w:rPr>
                <w:rFonts w:ascii="宋体" w:hAnsi="宋体"/>
                <w:sz w:val="24"/>
              </w:rPr>
              <w:t>3</w:t>
            </w:r>
            <w:r>
              <w:rPr>
                <w:rFonts w:hint="eastAsia" w:ascii="宋体" w:hAnsi="宋体"/>
                <w:sz w:val="24"/>
              </w:rPr>
              <w:t>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4" w:hRule="atLeast"/>
          <w:jc w:val="center"/>
        </w:trPr>
        <w:tc>
          <w:tcPr>
            <w:tcW w:w="1560" w:type="dxa"/>
            <w:vMerge w:val="continue"/>
            <w:vAlign w:val="center"/>
          </w:tcPr>
          <w:p>
            <w:pPr>
              <w:jc w:val="center"/>
              <w:rPr>
                <w:rFonts w:ascii="宋体" w:hAnsi="宋体"/>
                <w:sz w:val="24"/>
              </w:rPr>
            </w:pPr>
          </w:p>
        </w:tc>
        <w:tc>
          <w:tcPr>
            <w:tcW w:w="1733" w:type="dxa"/>
            <w:vAlign w:val="center"/>
          </w:tcPr>
          <w:p>
            <w:pPr>
              <w:jc w:val="center"/>
              <w:rPr>
                <w:rFonts w:ascii="宋体" w:hAnsi="宋体"/>
                <w:sz w:val="24"/>
              </w:rPr>
            </w:pPr>
            <w:r>
              <w:rPr>
                <w:rFonts w:ascii="宋体" w:hAnsi="宋体"/>
                <w:sz w:val="24"/>
              </w:rPr>
              <w:t>运营基金实施方案的全面性与合理性</w:t>
            </w:r>
          </w:p>
          <w:p>
            <w:pPr>
              <w:jc w:val="center"/>
              <w:rPr>
                <w:rFonts w:ascii="宋体" w:hAnsi="宋体"/>
                <w:sz w:val="24"/>
              </w:rPr>
            </w:pPr>
            <w:r>
              <w:rPr>
                <w:rFonts w:ascii="宋体" w:hAnsi="宋体"/>
                <w:sz w:val="24"/>
              </w:rPr>
              <w:t>（</w:t>
            </w:r>
            <w:r>
              <w:rPr>
                <w:rFonts w:hint="eastAsia" w:ascii="宋体" w:hAnsi="宋体"/>
                <w:sz w:val="24"/>
              </w:rPr>
              <w:t>1</w:t>
            </w:r>
            <w:r>
              <w:rPr>
                <w:rFonts w:ascii="宋体" w:hAnsi="宋体"/>
                <w:sz w:val="24"/>
              </w:rPr>
              <w:t>0分）</w:t>
            </w:r>
          </w:p>
        </w:tc>
        <w:tc>
          <w:tcPr>
            <w:tcW w:w="1938" w:type="dxa"/>
            <w:vAlign w:val="center"/>
          </w:tcPr>
          <w:p>
            <w:pPr>
              <w:rPr>
                <w:rFonts w:ascii="宋体" w:hAnsi="宋体"/>
                <w:sz w:val="24"/>
              </w:rPr>
            </w:pPr>
            <w:r>
              <w:rPr>
                <w:rFonts w:ascii="宋体" w:hAnsi="宋体"/>
                <w:sz w:val="24"/>
              </w:rPr>
              <w:t>运营基金实施方案</w:t>
            </w:r>
            <w:r>
              <w:rPr>
                <w:rFonts w:hint="eastAsia" w:ascii="宋体" w:hAnsi="宋体"/>
                <w:sz w:val="24"/>
              </w:rPr>
              <w:t>中基金管理组织架构、业务流程及管理、投资决策流程管理、风险控制流程管理以及相应附件细则</w:t>
            </w:r>
            <w:r>
              <w:rPr>
                <w:rFonts w:ascii="宋体" w:hAnsi="宋体"/>
                <w:sz w:val="24"/>
              </w:rPr>
              <w:t>全面性与合理性</w:t>
            </w:r>
            <w:r>
              <w:rPr>
                <w:rFonts w:hint="eastAsia" w:ascii="宋体" w:hAnsi="宋体"/>
                <w:sz w:val="24"/>
              </w:rPr>
              <w:t>（</w:t>
            </w:r>
            <w:r>
              <w:rPr>
                <w:rFonts w:ascii="宋体" w:hAnsi="宋体"/>
                <w:sz w:val="24"/>
              </w:rPr>
              <w:t>10分</w:t>
            </w:r>
            <w:r>
              <w:rPr>
                <w:rFonts w:hint="eastAsia" w:ascii="宋体" w:hAnsi="宋体"/>
                <w:sz w:val="24"/>
              </w:rPr>
              <w:t>）</w:t>
            </w:r>
          </w:p>
        </w:tc>
        <w:tc>
          <w:tcPr>
            <w:tcW w:w="3128" w:type="dxa"/>
            <w:vAlign w:val="center"/>
          </w:tcPr>
          <w:p>
            <w:pPr>
              <w:rPr>
                <w:rFonts w:ascii="宋体" w:hAnsi="宋体"/>
                <w:sz w:val="24"/>
              </w:rPr>
            </w:pPr>
            <w:r>
              <w:rPr>
                <w:rFonts w:hint="eastAsia" w:ascii="宋体" w:hAnsi="宋体"/>
                <w:sz w:val="24"/>
              </w:rPr>
              <w:t>提交的实施方案必须全面合理：1.基金管理组织架构，2.业务流程及管理，3.投资决策流程管理，4.风险控制流程管理以及5.相应附件细则。</w:t>
            </w:r>
          </w:p>
          <w:p>
            <w:pPr>
              <w:rPr>
                <w:rFonts w:ascii="宋体" w:hAnsi="宋体"/>
                <w:sz w:val="24"/>
              </w:rPr>
            </w:pPr>
            <w:r>
              <w:rPr>
                <w:rFonts w:hint="eastAsia" w:ascii="宋体" w:hAnsi="宋体"/>
                <w:sz w:val="24"/>
              </w:rPr>
              <w:t>以上每项内容都包含且合理的，得2分，不包含或不合理的，得0分。满分10分。</w:t>
            </w: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560" w:type="dxa"/>
            <w:vMerge w:val="continue"/>
            <w:vAlign w:val="center"/>
          </w:tcPr>
          <w:p>
            <w:pPr>
              <w:jc w:val="center"/>
              <w:rPr>
                <w:rFonts w:ascii="宋体" w:hAnsi="宋体"/>
                <w:sz w:val="24"/>
              </w:rPr>
            </w:pPr>
          </w:p>
        </w:tc>
        <w:tc>
          <w:tcPr>
            <w:tcW w:w="1733" w:type="dxa"/>
            <w:vAlign w:val="center"/>
          </w:tcPr>
          <w:p>
            <w:pPr>
              <w:jc w:val="center"/>
              <w:rPr>
                <w:rFonts w:ascii="宋体" w:hAnsi="宋体"/>
                <w:sz w:val="24"/>
              </w:rPr>
            </w:pPr>
            <w:r>
              <w:rPr>
                <w:rFonts w:hint="eastAsia" w:ascii="宋体" w:hAnsi="宋体"/>
                <w:sz w:val="24"/>
              </w:rPr>
              <w:t>与知识产权机构合作协议合理性</w:t>
            </w:r>
          </w:p>
          <w:p>
            <w:pPr>
              <w:jc w:val="center"/>
              <w:rPr>
                <w:rFonts w:ascii="宋体" w:hAnsi="宋体"/>
                <w:sz w:val="24"/>
              </w:rPr>
            </w:pPr>
            <w:r>
              <w:rPr>
                <w:rFonts w:ascii="宋体" w:hAnsi="宋体"/>
                <w:sz w:val="24"/>
              </w:rPr>
              <w:t>（</w:t>
            </w:r>
            <w:r>
              <w:rPr>
                <w:rFonts w:hint="eastAsia" w:ascii="宋体" w:hAnsi="宋体"/>
                <w:sz w:val="24"/>
              </w:rPr>
              <w:t>5分）</w:t>
            </w:r>
          </w:p>
        </w:tc>
        <w:tc>
          <w:tcPr>
            <w:tcW w:w="1938" w:type="dxa"/>
            <w:vAlign w:val="center"/>
          </w:tcPr>
          <w:p>
            <w:pPr>
              <w:jc w:val="center"/>
              <w:rPr>
                <w:rFonts w:ascii="宋体" w:hAnsi="宋体"/>
                <w:sz w:val="24"/>
              </w:rPr>
            </w:pPr>
            <w:r>
              <w:rPr>
                <w:rFonts w:hint="eastAsia" w:ascii="宋体" w:hAnsi="宋体"/>
                <w:sz w:val="24"/>
              </w:rPr>
              <w:t>知识产权合作机构的工作职责及参与项目的具体工作描述的完整性及合理性（5分）</w:t>
            </w:r>
          </w:p>
        </w:tc>
        <w:tc>
          <w:tcPr>
            <w:tcW w:w="3128" w:type="dxa"/>
            <w:vAlign w:val="center"/>
          </w:tcPr>
          <w:p>
            <w:pPr>
              <w:rPr>
                <w:rFonts w:ascii="宋体" w:hAnsi="宋体"/>
                <w:sz w:val="24"/>
              </w:rPr>
            </w:pPr>
            <w:r>
              <w:rPr>
                <w:rFonts w:hint="eastAsia" w:ascii="宋体" w:hAnsi="宋体"/>
                <w:sz w:val="24"/>
              </w:rPr>
              <w:t>1、有知识产权合作机构的工作职责及参与项目的具体工作描述，且内容合理的：（5分）；</w:t>
            </w:r>
          </w:p>
          <w:p>
            <w:pPr>
              <w:rPr>
                <w:rFonts w:ascii="宋体" w:hAnsi="宋体"/>
                <w:sz w:val="24"/>
              </w:rPr>
            </w:pPr>
            <w:r>
              <w:rPr>
                <w:rFonts w:ascii="宋体" w:hAnsi="宋体"/>
                <w:sz w:val="24"/>
              </w:rPr>
              <w:t>2</w:t>
            </w:r>
            <w:r>
              <w:rPr>
                <w:rFonts w:hint="eastAsia" w:ascii="宋体" w:hAnsi="宋体"/>
                <w:sz w:val="24"/>
              </w:rPr>
              <w:t>、有知识产权合作机构的工作职责及参与项目的具体工作描述，但内容欠缺合理性的：（3分）；</w:t>
            </w:r>
          </w:p>
          <w:p>
            <w:pPr>
              <w:rPr>
                <w:rFonts w:ascii="宋体" w:hAnsi="宋体"/>
                <w:sz w:val="24"/>
              </w:rPr>
            </w:pPr>
            <w:r>
              <w:rPr>
                <w:rFonts w:ascii="宋体" w:hAnsi="宋体"/>
                <w:sz w:val="24"/>
              </w:rPr>
              <w:t>3</w:t>
            </w:r>
            <w:r>
              <w:rPr>
                <w:rFonts w:hint="eastAsia" w:ascii="宋体" w:hAnsi="宋体"/>
                <w:sz w:val="24"/>
              </w:rPr>
              <w:t>、有知识产权合作机构的工作职责及参与项目的具体工作描述不明确的：（0分）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1560" w:type="dxa"/>
            <w:vMerge w:val="continue"/>
            <w:vAlign w:val="center"/>
          </w:tcPr>
          <w:p>
            <w:pPr>
              <w:jc w:val="center"/>
              <w:rPr>
                <w:rFonts w:ascii="宋体" w:hAnsi="宋体"/>
                <w:sz w:val="24"/>
              </w:rPr>
            </w:pPr>
          </w:p>
        </w:tc>
        <w:tc>
          <w:tcPr>
            <w:tcW w:w="1733" w:type="dxa"/>
            <w:vAlign w:val="center"/>
          </w:tcPr>
          <w:p>
            <w:pPr>
              <w:jc w:val="center"/>
              <w:rPr>
                <w:rFonts w:ascii="宋体" w:hAnsi="宋体"/>
                <w:sz w:val="24"/>
              </w:rPr>
            </w:pPr>
            <w:r>
              <w:rPr>
                <w:rFonts w:hint="eastAsia" w:ascii="宋体" w:hAnsi="宋体"/>
                <w:sz w:val="24"/>
              </w:rPr>
              <w:t>实施方案中投资项目审核的科学性</w:t>
            </w:r>
          </w:p>
          <w:p>
            <w:pPr>
              <w:jc w:val="center"/>
              <w:rPr>
                <w:rFonts w:ascii="宋体" w:hAnsi="宋体"/>
                <w:sz w:val="24"/>
              </w:rPr>
            </w:pPr>
            <w:r>
              <w:rPr>
                <w:rFonts w:hint="eastAsia" w:ascii="宋体" w:hAnsi="宋体"/>
                <w:sz w:val="24"/>
              </w:rPr>
              <w:t>(5分）</w:t>
            </w:r>
          </w:p>
        </w:tc>
        <w:tc>
          <w:tcPr>
            <w:tcW w:w="1938" w:type="dxa"/>
            <w:vAlign w:val="center"/>
          </w:tcPr>
          <w:p>
            <w:pPr>
              <w:jc w:val="center"/>
              <w:rPr>
                <w:rFonts w:ascii="宋体" w:hAnsi="宋体"/>
                <w:sz w:val="24"/>
              </w:rPr>
            </w:pPr>
            <w:r>
              <w:rPr>
                <w:rFonts w:hint="eastAsia" w:ascii="宋体" w:hAnsi="宋体"/>
                <w:sz w:val="24"/>
              </w:rPr>
              <w:t>基金实施方案流程和机制完整性及合理性（5分）</w:t>
            </w:r>
          </w:p>
        </w:tc>
        <w:tc>
          <w:tcPr>
            <w:tcW w:w="3128" w:type="dxa"/>
            <w:vAlign w:val="center"/>
          </w:tcPr>
          <w:p>
            <w:pPr>
              <w:rPr>
                <w:rFonts w:ascii="宋体" w:hAnsi="宋体"/>
                <w:sz w:val="24"/>
              </w:rPr>
            </w:pPr>
            <w:r>
              <w:rPr>
                <w:rFonts w:hint="eastAsia" w:ascii="宋体" w:hAnsi="宋体"/>
                <w:sz w:val="24"/>
              </w:rPr>
              <w:t>1、实施方案具有详细的投资项目审核（决策）流程和机制，且科学合理的：（5分）；</w:t>
            </w:r>
          </w:p>
          <w:p>
            <w:pPr>
              <w:rPr>
                <w:rFonts w:ascii="宋体" w:hAnsi="宋体"/>
                <w:sz w:val="24"/>
              </w:rPr>
            </w:pPr>
            <w:r>
              <w:rPr>
                <w:rFonts w:ascii="宋体" w:hAnsi="宋体"/>
                <w:sz w:val="24"/>
              </w:rPr>
              <w:t>2</w:t>
            </w:r>
            <w:r>
              <w:rPr>
                <w:rFonts w:hint="eastAsia" w:ascii="宋体" w:hAnsi="宋体"/>
                <w:sz w:val="24"/>
              </w:rPr>
              <w:t>、方案中有相关的投资项目审核（决策）流程和机制，但缺乏合理性的：（3分）；</w:t>
            </w:r>
          </w:p>
          <w:p>
            <w:pPr>
              <w:rPr>
                <w:rFonts w:ascii="宋体" w:hAnsi="宋体"/>
                <w:sz w:val="24"/>
              </w:rPr>
            </w:pPr>
            <w:r>
              <w:rPr>
                <w:rFonts w:hint="eastAsia" w:ascii="宋体" w:hAnsi="宋体"/>
                <w:sz w:val="24"/>
              </w:rPr>
              <w:t>3、方案中有相关的投资项目审核（决策）流程和机制欠缺的：（0分）。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jc w:val="center"/>
        </w:trPr>
        <w:tc>
          <w:tcPr>
            <w:tcW w:w="1560" w:type="dxa"/>
            <w:vMerge w:val="continue"/>
            <w:vAlign w:val="center"/>
          </w:tcPr>
          <w:p>
            <w:pPr>
              <w:jc w:val="center"/>
              <w:rPr>
                <w:rFonts w:ascii="宋体" w:hAnsi="宋体"/>
                <w:sz w:val="24"/>
              </w:rPr>
            </w:pPr>
          </w:p>
        </w:tc>
        <w:tc>
          <w:tcPr>
            <w:tcW w:w="1733" w:type="dxa"/>
            <w:vAlign w:val="center"/>
          </w:tcPr>
          <w:p>
            <w:pPr>
              <w:jc w:val="center"/>
              <w:rPr>
                <w:rFonts w:ascii="宋体" w:hAnsi="宋体"/>
                <w:sz w:val="24"/>
              </w:rPr>
            </w:pPr>
            <w:r>
              <w:rPr>
                <w:rFonts w:hint="eastAsia" w:ascii="宋体" w:hAnsi="宋体"/>
                <w:sz w:val="24"/>
              </w:rPr>
              <w:t>实施方案中投资项目备案、监督机制的完善情况（5分）</w:t>
            </w:r>
          </w:p>
        </w:tc>
        <w:tc>
          <w:tcPr>
            <w:tcW w:w="1938" w:type="dxa"/>
            <w:vAlign w:val="center"/>
          </w:tcPr>
          <w:p>
            <w:pPr>
              <w:jc w:val="center"/>
              <w:rPr>
                <w:rFonts w:ascii="宋体" w:hAnsi="宋体"/>
                <w:sz w:val="24"/>
              </w:rPr>
            </w:pPr>
            <w:r>
              <w:rPr>
                <w:rFonts w:hint="eastAsia" w:ascii="宋体" w:hAnsi="宋体"/>
                <w:sz w:val="24"/>
              </w:rPr>
              <w:t>实施方案中投资项目备案、监督机制的完善情况及合理性（5分）</w:t>
            </w:r>
          </w:p>
        </w:tc>
        <w:tc>
          <w:tcPr>
            <w:tcW w:w="3128" w:type="dxa"/>
            <w:vAlign w:val="center"/>
          </w:tcPr>
          <w:p>
            <w:pPr>
              <w:jc w:val="left"/>
              <w:rPr>
                <w:rFonts w:ascii="宋体" w:hAnsi="宋体"/>
                <w:sz w:val="24"/>
              </w:rPr>
            </w:pPr>
            <w:r>
              <w:rPr>
                <w:rFonts w:hint="eastAsia" w:ascii="宋体" w:hAnsi="宋体"/>
                <w:sz w:val="24"/>
              </w:rPr>
              <w:t>1、实施方案对项目的投后管理和监督机制有详细说明，且科学合理的：（5分）；</w:t>
            </w:r>
          </w:p>
          <w:p>
            <w:pPr>
              <w:jc w:val="left"/>
              <w:rPr>
                <w:rFonts w:ascii="宋体" w:hAnsi="宋体"/>
                <w:sz w:val="24"/>
              </w:rPr>
            </w:pPr>
            <w:r>
              <w:rPr>
                <w:rFonts w:ascii="宋体" w:hAnsi="宋体"/>
                <w:sz w:val="24"/>
              </w:rPr>
              <w:t>2</w:t>
            </w:r>
            <w:r>
              <w:rPr>
                <w:rFonts w:hint="eastAsia" w:ascii="宋体" w:hAnsi="宋体"/>
                <w:sz w:val="24"/>
              </w:rPr>
              <w:t>、实施方案对项目的投后管理和监督机制有详细说明，但缺乏科学性的：（3分）；</w:t>
            </w:r>
          </w:p>
          <w:p>
            <w:pPr>
              <w:jc w:val="left"/>
              <w:rPr>
                <w:rFonts w:ascii="宋体" w:hAnsi="宋体"/>
                <w:sz w:val="24"/>
              </w:rPr>
            </w:pPr>
            <w:r>
              <w:rPr>
                <w:rFonts w:ascii="宋体" w:hAnsi="宋体"/>
                <w:sz w:val="24"/>
              </w:rPr>
              <w:t>3</w:t>
            </w:r>
            <w:r>
              <w:rPr>
                <w:rFonts w:hint="eastAsia" w:ascii="宋体" w:hAnsi="宋体"/>
                <w:sz w:val="24"/>
              </w:rPr>
              <w:t>、实施方案对项目的投后管理和监督机制没有详细说明的：（0分）。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jc w:val="center"/>
        </w:trPr>
        <w:tc>
          <w:tcPr>
            <w:tcW w:w="1560" w:type="dxa"/>
            <w:vMerge w:val="continue"/>
            <w:vAlign w:val="center"/>
          </w:tcPr>
          <w:p>
            <w:pPr>
              <w:jc w:val="center"/>
              <w:rPr>
                <w:rFonts w:ascii="宋体" w:hAnsi="宋体"/>
                <w:sz w:val="24"/>
              </w:rPr>
            </w:pPr>
          </w:p>
        </w:tc>
        <w:tc>
          <w:tcPr>
            <w:tcW w:w="1733" w:type="dxa"/>
            <w:vAlign w:val="center"/>
          </w:tcPr>
          <w:p>
            <w:pPr>
              <w:jc w:val="center"/>
              <w:rPr>
                <w:rFonts w:ascii="宋体" w:hAnsi="宋体"/>
                <w:sz w:val="24"/>
              </w:rPr>
            </w:pPr>
            <w:r>
              <w:rPr>
                <w:rFonts w:hint="eastAsia" w:ascii="宋体" w:hAnsi="宋体"/>
                <w:sz w:val="24"/>
              </w:rPr>
              <w:t>实施方案中风险控制和处置的可操作性（5分）</w:t>
            </w:r>
          </w:p>
        </w:tc>
        <w:tc>
          <w:tcPr>
            <w:tcW w:w="1938" w:type="dxa"/>
            <w:vAlign w:val="center"/>
          </w:tcPr>
          <w:p>
            <w:pPr>
              <w:jc w:val="center"/>
              <w:rPr>
                <w:rFonts w:ascii="宋体" w:hAnsi="宋体"/>
                <w:sz w:val="24"/>
              </w:rPr>
            </w:pPr>
            <w:r>
              <w:rPr>
                <w:rFonts w:hint="eastAsia" w:ascii="宋体" w:hAnsi="宋体"/>
                <w:sz w:val="24"/>
              </w:rPr>
              <w:t>实施方案中风险控制和处置的可操作性的完善情况及合理性：（5分）</w:t>
            </w:r>
          </w:p>
          <w:p>
            <w:pPr>
              <w:jc w:val="center"/>
              <w:rPr>
                <w:rFonts w:ascii="宋体" w:hAnsi="宋体"/>
                <w:sz w:val="24"/>
              </w:rPr>
            </w:pPr>
          </w:p>
        </w:tc>
        <w:tc>
          <w:tcPr>
            <w:tcW w:w="3128" w:type="dxa"/>
            <w:vAlign w:val="center"/>
          </w:tcPr>
          <w:p>
            <w:pPr>
              <w:rPr>
                <w:rFonts w:ascii="宋体" w:hAnsi="宋体"/>
                <w:sz w:val="24"/>
              </w:rPr>
            </w:pPr>
            <w:r>
              <w:rPr>
                <w:rFonts w:hint="eastAsia" w:ascii="宋体" w:hAnsi="宋体"/>
                <w:sz w:val="24"/>
              </w:rPr>
              <w:t>1、实施方案对投资项目风险控制流程和处置有详细说明，且科学合理的：（5分）；</w:t>
            </w:r>
          </w:p>
          <w:p>
            <w:pPr>
              <w:jc w:val="left"/>
              <w:rPr>
                <w:rFonts w:ascii="宋体" w:hAnsi="宋体"/>
                <w:sz w:val="24"/>
              </w:rPr>
            </w:pPr>
            <w:r>
              <w:rPr>
                <w:rFonts w:hint="eastAsia" w:ascii="宋体" w:hAnsi="宋体"/>
                <w:sz w:val="24"/>
              </w:rPr>
              <w:t>2、实施方案对投资项目风险控制流程和处置有详细说明，但缺乏合理性的：（3分）；</w:t>
            </w:r>
          </w:p>
          <w:p>
            <w:pPr>
              <w:jc w:val="left"/>
              <w:rPr>
                <w:rFonts w:ascii="宋体" w:hAnsi="宋体"/>
                <w:sz w:val="24"/>
              </w:rPr>
            </w:pPr>
            <w:r>
              <w:rPr>
                <w:rFonts w:hint="eastAsia" w:ascii="宋体" w:hAnsi="宋体"/>
                <w:sz w:val="24"/>
              </w:rPr>
              <w:t>3、实施方案对投资项目风险控制流程和处置有详细说明：（0分）。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1560" w:type="dxa"/>
            <w:vMerge w:val="continue"/>
            <w:vAlign w:val="center"/>
          </w:tcPr>
          <w:p>
            <w:pPr>
              <w:jc w:val="center"/>
              <w:rPr>
                <w:rFonts w:ascii="宋体" w:hAnsi="宋体"/>
                <w:sz w:val="24"/>
              </w:rPr>
            </w:pPr>
          </w:p>
        </w:tc>
        <w:tc>
          <w:tcPr>
            <w:tcW w:w="1733" w:type="dxa"/>
            <w:vAlign w:val="center"/>
          </w:tcPr>
          <w:p>
            <w:pPr>
              <w:jc w:val="center"/>
              <w:rPr>
                <w:rFonts w:ascii="宋体" w:hAnsi="宋体"/>
                <w:sz w:val="24"/>
              </w:rPr>
            </w:pPr>
            <w:r>
              <w:rPr>
                <w:rFonts w:hint="eastAsia" w:ascii="宋体" w:hAnsi="宋体"/>
                <w:sz w:val="24"/>
              </w:rPr>
              <w:t>实施方案中运营架构设置的科学性与</w:t>
            </w:r>
          </w:p>
          <w:p>
            <w:pPr>
              <w:jc w:val="center"/>
              <w:rPr>
                <w:rFonts w:ascii="宋体" w:hAnsi="宋体"/>
                <w:sz w:val="24"/>
              </w:rPr>
            </w:pPr>
            <w:r>
              <w:rPr>
                <w:rFonts w:hint="eastAsia" w:ascii="宋体" w:hAnsi="宋体"/>
                <w:sz w:val="24"/>
              </w:rPr>
              <w:t>合理性</w:t>
            </w:r>
          </w:p>
          <w:p>
            <w:pPr>
              <w:jc w:val="center"/>
              <w:rPr>
                <w:rFonts w:ascii="宋体" w:hAnsi="宋体"/>
                <w:sz w:val="24"/>
              </w:rPr>
            </w:pPr>
            <w:r>
              <w:rPr>
                <w:rFonts w:hint="eastAsia" w:ascii="宋体" w:hAnsi="宋体"/>
                <w:sz w:val="24"/>
              </w:rPr>
              <w:t>（5分）</w:t>
            </w:r>
          </w:p>
        </w:tc>
        <w:tc>
          <w:tcPr>
            <w:tcW w:w="1938" w:type="dxa"/>
            <w:vAlign w:val="center"/>
          </w:tcPr>
          <w:p>
            <w:pPr>
              <w:jc w:val="center"/>
              <w:rPr>
                <w:rFonts w:ascii="宋体" w:hAnsi="宋体"/>
                <w:sz w:val="24"/>
              </w:rPr>
            </w:pPr>
            <w:r>
              <w:rPr>
                <w:rFonts w:hint="eastAsia" w:ascii="宋体" w:hAnsi="宋体"/>
                <w:sz w:val="24"/>
              </w:rPr>
              <w:t>实施方案中运营架构设置的情况及合理性：（5分）</w:t>
            </w:r>
          </w:p>
        </w:tc>
        <w:tc>
          <w:tcPr>
            <w:tcW w:w="3128" w:type="dxa"/>
            <w:vAlign w:val="center"/>
          </w:tcPr>
          <w:p>
            <w:pPr>
              <w:jc w:val="left"/>
              <w:rPr>
                <w:rFonts w:ascii="宋体" w:hAnsi="宋体"/>
                <w:sz w:val="24"/>
              </w:rPr>
            </w:pPr>
            <w:r>
              <w:rPr>
                <w:rFonts w:hint="eastAsia" w:ascii="宋体" w:hAnsi="宋体"/>
                <w:sz w:val="24"/>
              </w:rPr>
              <w:t>1、实施方案中对运作组织架构设置有详细的协作分工说明，且科学合理的：（5分）；</w:t>
            </w:r>
          </w:p>
          <w:p>
            <w:pPr>
              <w:jc w:val="left"/>
              <w:rPr>
                <w:rFonts w:ascii="宋体" w:hAnsi="宋体"/>
                <w:sz w:val="24"/>
              </w:rPr>
            </w:pPr>
            <w:r>
              <w:rPr>
                <w:rFonts w:hint="eastAsia" w:ascii="宋体" w:hAnsi="宋体"/>
                <w:sz w:val="24"/>
              </w:rPr>
              <w:t>2、实施方案中对运作组织架构设置有详细的协作分工说明但缺乏合理性的：（3分）；</w:t>
            </w:r>
          </w:p>
          <w:p>
            <w:pPr>
              <w:jc w:val="left"/>
              <w:rPr>
                <w:rFonts w:ascii="宋体" w:hAnsi="宋体"/>
                <w:sz w:val="24"/>
              </w:rPr>
            </w:pPr>
            <w:r>
              <w:rPr>
                <w:rFonts w:hint="eastAsia" w:ascii="宋体" w:hAnsi="宋体"/>
                <w:sz w:val="24"/>
              </w:rPr>
              <w:t>3、实施方案中对运作组织架构设置没有详细的协作分工说明：（0分）。</w:t>
            </w:r>
          </w:p>
        </w:tc>
      </w:tr>
    </w:tbl>
    <w:p>
      <w:pPr>
        <w:jc w:val="left"/>
        <w:rPr>
          <w:rFonts w:ascii="黑体" w:hAnsi="黑体" w:eastAsia="黑体" w:cs="黑体"/>
          <w:spacing w:val="10"/>
          <w:kern w:val="0"/>
          <w:sz w:val="32"/>
          <w:szCs w:val="32"/>
        </w:rPr>
      </w:pPr>
    </w:p>
    <w:p/>
    <w:p/>
    <w:p/>
    <w:p/>
    <w:p/>
    <w:p>
      <w:pPr>
        <w:rPr>
          <w:sz w:val="32"/>
        </w:rPr>
      </w:pPr>
    </w:p>
    <w:sectPr>
      <w:footerReference r:id="rId3" w:type="default"/>
      <w:pgSz w:w="11906" w:h="16838"/>
      <w:pgMar w:top="1588" w:right="1474" w:bottom="1588" w:left="1474" w:header="851" w:footer="66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28"/>
      </w:rPr>
      <w:id w:val="469643577"/>
    </w:sdtPr>
    <w:sdtEndPr>
      <w:rPr>
        <w:rFonts w:ascii="仿宋" w:hAnsi="仿宋" w:eastAsia="仿宋"/>
        <w:sz w:val="28"/>
      </w:rPr>
    </w:sdtEndPr>
    <w:sdtContent>
      <w:p>
        <w:pPr>
          <w:pStyle w:val="2"/>
          <w:jc w:val="center"/>
          <w:rPr>
            <w:rFonts w:ascii="仿宋" w:hAnsi="仿宋" w:eastAsia="仿宋"/>
            <w:sz w:val="28"/>
          </w:rPr>
        </w:pPr>
        <w:r>
          <w:rPr>
            <w:rFonts w:ascii="仿宋" w:hAnsi="仿宋" w:eastAsia="仿宋"/>
            <w:sz w:val="28"/>
          </w:rPr>
          <w:fldChar w:fldCharType="begin"/>
        </w:r>
        <w:r>
          <w:rPr>
            <w:rFonts w:ascii="仿宋" w:hAnsi="仿宋" w:eastAsia="仿宋"/>
            <w:sz w:val="28"/>
          </w:rPr>
          <w:instrText xml:space="preserve"> PAGE   \* MERGEFORMAT </w:instrText>
        </w:r>
        <w:r>
          <w:rPr>
            <w:rFonts w:ascii="仿宋" w:hAnsi="仿宋" w:eastAsia="仿宋"/>
            <w:sz w:val="28"/>
          </w:rPr>
          <w:fldChar w:fldCharType="separate"/>
        </w:r>
        <w:r>
          <w:rPr>
            <w:rFonts w:ascii="仿宋" w:hAnsi="仿宋" w:eastAsia="仿宋"/>
            <w:sz w:val="28"/>
          </w:rPr>
          <w:t>11</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2832B2"/>
    <w:rsid w:val="0D760923"/>
    <w:rsid w:val="0F5066A8"/>
    <w:rsid w:val="110875B2"/>
    <w:rsid w:val="1BA60919"/>
    <w:rsid w:val="1BBB299C"/>
    <w:rsid w:val="1BCA5C1F"/>
    <w:rsid w:val="1D183B63"/>
    <w:rsid w:val="22C74C6A"/>
    <w:rsid w:val="22ED3D55"/>
    <w:rsid w:val="25AB21F5"/>
    <w:rsid w:val="2C7A7EE0"/>
    <w:rsid w:val="2E163A38"/>
    <w:rsid w:val="38424130"/>
    <w:rsid w:val="43B903EA"/>
    <w:rsid w:val="460224F7"/>
    <w:rsid w:val="4B177C5D"/>
    <w:rsid w:val="4B441A88"/>
    <w:rsid w:val="4FC771F5"/>
    <w:rsid w:val="59AF6B66"/>
    <w:rsid w:val="5F9C3F01"/>
    <w:rsid w:val="628F2754"/>
    <w:rsid w:val="637051B4"/>
    <w:rsid w:val="70467F7A"/>
    <w:rsid w:val="762F4E73"/>
    <w:rsid w:val="7E2832B2"/>
    <w:rsid w:val="7EE95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854</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2020-09-29T07:17:00Z</dcterms:created>
  <dc:creator>饶文山</dc:creator>
  <cp:lastModifiedBy>赵剑</cp:lastModifiedBy>
  <cp:lastPrinted>2020-10-09T01:26:00Z</cp:lastPrinted>
  <dcterms:modified xsi:type="dcterms:W3CDTF">2020-10-16T11:43:36Z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