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line="560" w:lineRule="exact"/>
        <w:textAlignment w:val="auto"/>
        <w:rPr>
          <w:rFonts w:ascii="黑体" w:hAnsi="黑体" w:eastAsia="黑体" w:cs="Arial"/>
          <w:kern w:val="0"/>
          <w:szCs w:val="32"/>
        </w:rPr>
      </w:pPr>
      <w:r>
        <w:rPr>
          <w:rFonts w:hint="eastAsia" w:ascii="黑体" w:hAnsi="黑体" w:eastAsia="黑体" w:cs="Arial"/>
          <w:kern w:val="0"/>
          <w:szCs w:val="32"/>
        </w:rPr>
        <w:t>附件4</w:t>
      </w:r>
    </w:p>
    <w:p>
      <w:pPr>
        <w:pageBreakBefore w:val="0"/>
        <w:kinsoku/>
        <w:wordWrap/>
        <w:overflowPunct/>
        <w:topLinePunct w:val="0"/>
        <w:autoSpaceDE/>
        <w:autoSpaceDN/>
        <w:bidi w:val="0"/>
        <w:adjustRightInd/>
        <w:snapToGrid/>
        <w:spacing w:line="560" w:lineRule="exact"/>
        <w:ind w:firstLine="832"/>
        <w:jc w:val="center"/>
        <w:textAlignment w:val="auto"/>
        <w:rPr>
          <w:rFonts w:ascii="华文中宋" w:hAnsi="华文中宋" w:eastAsia="华文中宋"/>
          <w:spacing w:val="-12"/>
          <w:sz w:val="44"/>
          <w:szCs w:val="44"/>
        </w:rPr>
      </w:pPr>
      <w:r>
        <w:rPr>
          <w:rFonts w:hint="eastAsia" w:ascii="华文中宋" w:hAnsi="华文中宋" w:eastAsia="华文中宋"/>
          <w:spacing w:val="-12"/>
          <w:sz w:val="44"/>
          <w:szCs w:val="44"/>
        </w:rPr>
        <w:t>部分不合格项目小知识</w:t>
      </w:r>
    </w:p>
    <w:p>
      <w:pPr>
        <w:pageBreakBefore w:val="0"/>
        <w:kinsoku/>
        <w:wordWrap/>
        <w:overflowPunct/>
        <w:topLinePunct w:val="0"/>
        <w:autoSpaceDE/>
        <w:autoSpaceDN/>
        <w:bidi w:val="0"/>
        <w:adjustRightInd/>
        <w:snapToGrid/>
        <w:spacing w:line="560" w:lineRule="exact"/>
        <w:textAlignment w:val="auto"/>
        <w:rPr>
          <w:rFonts w:hint="eastAsia" w:ascii="黑体" w:hAnsi="黑体" w:eastAsia="黑体" w:cs="仿宋_GB2312"/>
          <w:szCs w:val="32"/>
        </w:rPr>
      </w:pPr>
    </w:p>
    <w:p>
      <w:pPr>
        <w:pageBreakBefore w:val="0"/>
        <w:kinsoku/>
        <w:wordWrap/>
        <w:overflowPunct/>
        <w:topLinePunct w:val="0"/>
        <w:autoSpaceDE/>
        <w:autoSpaceDN/>
        <w:bidi w:val="0"/>
        <w:adjustRightInd/>
        <w:snapToGrid/>
        <w:spacing w:line="560" w:lineRule="exact"/>
        <w:textAlignment w:val="auto"/>
        <w:rPr>
          <w:rFonts w:ascii="黑体" w:hAnsi="黑体" w:eastAsia="黑体" w:cs="仿宋_GB2312"/>
          <w:szCs w:val="32"/>
        </w:rPr>
      </w:pPr>
      <w:r>
        <w:rPr>
          <w:rFonts w:hint="eastAsia" w:ascii="黑体" w:hAnsi="黑体" w:eastAsia="黑体" w:cs="仿宋_GB2312"/>
          <w:szCs w:val="32"/>
        </w:rPr>
        <w:t>一、不合格项目小知识</w:t>
      </w:r>
    </w:p>
    <w:p>
      <w:pPr>
        <w:pageBreakBefore w:val="0"/>
        <w:kinsoku/>
        <w:wordWrap/>
        <w:overflowPunct/>
        <w:topLinePunct w:val="0"/>
        <w:autoSpaceDE/>
        <w:autoSpaceDN/>
        <w:bidi w:val="0"/>
        <w:adjustRightInd/>
        <w:snapToGrid/>
        <w:spacing w:line="560" w:lineRule="exact"/>
        <w:ind w:firstLine="643" w:firstLineChars="200"/>
        <w:textAlignment w:val="auto"/>
        <w:rPr>
          <w:rFonts w:ascii="楷体_GB2312" w:hAnsi="楷体" w:eastAsia="楷体_GB2312" w:cs="仿宋_GB2312"/>
          <w:b/>
          <w:sz w:val="32"/>
          <w:szCs w:val="32"/>
        </w:rPr>
      </w:pPr>
      <w:r>
        <w:rPr>
          <w:rFonts w:hint="eastAsia" w:ascii="楷体_GB2312" w:hAnsi="楷体" w:eastAsia="楷体_GB2312" w:cs="仿宋_GB2312"/>
          <w:b/>
          <w:sz w:val="32"/>
          <w:szCs w:val="32"/>
        </w:rPr>
        <w:t>（</w:t>
      </w:r>
      <w:r>
        <w:rPr>
          <w:rFonts w:hint="eastAsia" w:ascii="楷体_GB2312" w:hAnsi="楷体" w:eastAsia="楷体_GB2312" w:cs="仿宋_GB2312"/>
          <w:b/>
          <w:sz w:val="32"/>
          <w:szCs w:val="32"/>
          <w:lang w:eastAsia="zh-CN"/>
        </w:rPr>
        <w:t>一</w:t>
      </w:r>
      <w:r>
        <w:rPr>
          <w:rFonts w:hint="eastAsia" w:ascii="楷体_GB2312" w:hAnsi="楷体" w:eastAsia="楷体_GB2312" w:cs="仿宋_GB2312"/>
          <w:b/>
          <w:sz w:val="32"/>
          <w:szCs w:val="32"/>
        </w:rPr>
        <w:t>）脱氢乙酸及其钠盐</w:t>
      </w:r>
    </w:p>
    <w:p>
      <w:pPr>
        <w:pStyle w:val="2"/>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 w:eastAsia="仿宋_GB2312" w:cs="宋体"/>
          <w:kern w:val="0"/>
          <w:sz w:val="32"/>
          <w:szCs w:val="32"/>
          <w:lang w:val="zh-CN"/>
        </w:rPr>
      </w:pPr>
      <w:r>
        <w:rPr>
          <w:rFonts w:hint="eastAsia" w:ascii="仿宋_GB2312" w:hAnsi="仿宋" w:eastAsia="仿宋_GB2312"/>
          <w:color w:val="auto"/>
          <w:sz w:val="32"/>
          <w:szCs w:val="32"/>
        </w:rPr>
        <w:t>脱氢乙酸及其钠盐因对霉菌具有较强的抑制作用而被广泛用作防腐剂。《食品安全国家标准 食品添加剂使用标准》（GB 2760-2014）中规定，</w:t>
      </w:r>
      <w:r>
        <w:rPr>
          <w:rFonts w:hint="eastAsia" w:ascii="仿宋_GB2312" w:hAnsi="仿宋" w:eastAsia="仿宋_GB2312"/>
          <w:sz w:val="32"/>
          <w:szCs w:val="32"/>
        </w:rPr>
        <w:t>生湿面制品</w:t>
      </w:r>
      <w:r>
        <w:rPr>
          <w:rFonts w:hint="eastAsia" w:ascii="仿宋_GB2312" w:hAnsi="仿宋"/>
          <w:color w:val="auto"/>
          <w:sz w:val="32"/>
          <w:szCs w:val="32"/>
          <w:lang w:eastAsia="zh-CN"/>
        </w:rPr>
        <w:t>、米粉制品</w:t>
      </w:r>
      <w:r>
        <w:rPr>
          <w:rFonts w:hint="eastAsia" w:ascii="仿宋_GB2312" w:hAnsi="仿宋" w:eastAsia="仿宋_GB2312"/>
          <w:color w:val="auto"/>
          <w:sz w:val="32"/>
          <w:szCs w:val="32"/>
        </w:rPr>
        <w:t>中不得使用脱氢乙酸及其钠盐。</w:t>
      </w:r>
      <w:r>
        <w:rPr>
          <w:rFonts w:hint="eastAsia" w:ascii="仿宋_GB2312" w:hAnsi="仿宋" w:eastAsia="仿宋_GB2312" w:cs="宋体"/>
          <w:color w:val="auto"/>
          <w:kern w:val="0"/>
          <w:sz w:val="32"/>
          <w:szCs w:val="32"/>
          <w:lang w:val="zh-CN"/>
        </w:rPr>
        <w:t>由于脱氢乙酸可与血浆中的白蛋白或组织中蛋白质的胺基结合，若长期</w:t>
      </w:r>
      <w:r>
        <w:rPr>
          <w:rFonts w:hint="eastAsia" w:ascii="仿宋_GB2312" w:hAnsi="仿宋" w:eastAsia="仿宋_GB2312" w:cs="宋体"/>
          <w:kern w:val="0"/>
          <w:sz w:val="32"/>
          <w:szCs w:val="32"/>
          <w:lang w:val="zh-CN"/>
        </w:rPr>
        <w:t>过量食用脱氢乙酸含量超标的食品可能会引起肝、肾和中枢神经系统的损伤。</w:t>
      </w:r>
    </w:p>
    <w:p>
      <w:pPr>
        <w:spacing w:line="560" w:lineRule="exact"/>
        <w:ind w:firstLine="745" w:firstLineChars="232"/>
        <w:rPr>
          <w:rFonts w:ascii="楷体_GB2312" w:hAnsi="楷体" w:eastAsia="楷体_GB2312" w:cs="仿宋_GB2312"/>
          <w:b/>
          <w:sz w:val="32"/>
          <w:szCs w:val="32"/>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eastAsia="zh-CN"/>
        </w:rPr>
        <w:t>二</w:t>
      </w:r>
      <w:r>
        <w:rPr>
          <w:rFonts w:hint="eastAsia" w:ascii="楷体_GB2312" w:hAnsi="楷体" w:eastAsia="楷体_GB2312" w:cs="仿宋_GB2312"/>
          <w:b/>
          <w:color w:val="000000"/>
          <w:sz w:val="32"/>
          <w:szCs w:val="32"/>
        </w:rPr>
        <w:t>）</w:t>
      </w:r>
      <w:r>
        <w:rPr>
          <w:rFonts w:hint="eastAsia" w:ascii="楷体_GB2312" w:hAnsi="楷体" w:eastAsia="楷体_GB2312" w:cs="宋体"/>
          <w:b/>
          <w:color w:val="000000"/>
          <w:kern w:val="0"/>
          <w:sz w:val="32"/>
          <w:szCs w:val="32"/>
        </w:rPr>
        <w:t>铝的残留量</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w:t>
      </w:r>
      <w:r>
        <w:rPr>
          <w:rFonts w:hint="eastAsia" w:ascii="仿宋_GB2312" w:hAnsi="仿宋" w:eastAsia="仿宋_GB2312"/>
          <w:sz w:val="32"/>
          <w:szCs w:val="32"/>
        </w:rPr>
        <w:t>《食品安全国家标准 食品添加剂使用标准》（GB 2760-2014）中规定，粉条中的铝的残留量(干样品，以Al计)应≤200mg/kg</w:t>
      </w:r>
      <w:r>
        <w:rPr>
          <w:rFonts w:hint="eastAsia" w:ascii="仿宋_GB2312" w:hAnsi="仿宋"/>
          <w:sz w:val="32"/>
          <w:szCs w:val="32"/>
          <w:lang w:eastAsia="zh-CN"/>
        </w:rPr>
        <w:t>；另</w:t>
      </w:r>
      <w:r>
        <w:rPr>
          <w:rFonts w:hint="eastAsia" w:ascii="仿宋_GB2312" w:hAnsi="仿宋" w:eastAsia="仿宋_GB2312"/>
          <w:sz w:val="32"/>
          <w:szCs w:val="32"/>
        </w:rPr>
        <w:t>本次不合格样品标签明示</w:t>
      </w:r>
      <w:r>
        <w:rPr>
          <w:rFonts w:hint="eastAsia" w:ascii="仿宋_GB2312" w:hAnsi="仿宋"/>
          <w:sz w:val="32"/>
          <w:szCs w:val="32"/>
          <w:lang w:eastAsia="zh-CN"/>
        </w:rPr>
        <w:t>不得使用铝类食品添加剂。</w:t>
      </w:r>
      <w:r>
        <w:rPr>
          <w:rFonts w:hint="eastAsia" w:ascii="仿宋_GB2312" w:hAnsi="仿宋" w:eastAsia="仿宋_GB2312" w:cs="仿宋_GB2312"/>
          <w:sz w:val="32"/>
          <w:szCs w:val="32"/>
        </w:rPr>
        <w:t>铝有一定的慢性毒性，摄入铝超标的食品，在体内可造成铝的蓄积，轻者会使食欲减退，引起贫血，重者会表现为神经毒性，使人运动失调、记忆力衰退等</w:t>
      </w:r>
      <w:r>
        <w:rPr>
          <w:rFonts w:hint="eastAsia" w:ascii="仿宋_GB2312" w:hAnsi="仿宋" w:cs="仿宋_GB2312"/>
          <w:sz w:val="32"/>
          <w:szCs w:val="32"/>
          <w:lang w:eastAsia="zh-CN"/>
        </w:rPr>
        <w:t>；</w:t>
      </w:r>
      <w:r>
        <w:rPr>
          <w:rFonts w:hint="eastAsia" w:ascii="仿宋_GB2312" w:hAnsi="仿宋" w:cs="仿宋_GB2312"/>
          <w:color w:val="auto"/>
          <w:sz w:val="32"/>
          <w:szCs w:val="32"/>
          <w:shd w:val="clear" w:color="auto" w:fill="auto"/>
          <w:lang w:eastAsia="zh-CN"/>
        </w:rPr>
        <w:t>此外，铝含量检出情况未如产品标签明示宣称，亦对消费者有误导作用</w:t>
      </w:r>
      <w:r>
        <w:rPr>
          <w:rFonts w:hint="eastAsia" w:ascii="仿宋_GB2312" w:hAnsi="仿宋" w:eastAsia="仿宋_GB2312" w:cs="仿宋_GB2312"/>
          <w:color w:val="auto"/>
          <w:sz w:val="32"/>
          <w:szCs w:val="32"/>
          <w:shd w:val="clear" w:color="auto" w:fill="auto"/>
        </w:rPr>
        <w:t>。</w:t>
      </w:r>
    </w:p>
    <w:p>
      <w:pPr>
        <w:spacing w:line="560" w:lineRule="exact"/>
        <w:ind w:firstLine="745" w:firstLineChars="232"/>
        <w:rPr>
          <w:rFonts w:hint="eastAsia" w:ascii="楷体_GB2312" w:hAnsi="楷体" w:eastAsia="楷体_GB2312" w:cs="仿宋_GB2312"/>
          <w:b/>
          <w:color w:val="auto"/>
          <w:sz w:val="32"/>
          <w:szCs w:val="32"/>
          <w:lang w:val="en-US" w:eastAsia="zh-CN"/>
        </w:rPr>
      </w:pPr>
      <w:r>
        <w:rPr>
          <w:rFonts w:hint="eastAsia" w:ascii="楷体_GB2312" w:hAnsi="楷体" w:eastAsia="楷体_GB2312" w:cs="仿宋_GB2312"/>
          <w:b/>
          <w:color w:val="auto"/>
          <w:sz w:val="32"/>
          <w:szCs w:val="32"/>
          <w:lang w:val="en-US" w:eastAsia="zh-CN"/>
        </w:rPr>
        <w:t>(三)泛酸</w:t>
      </w:r>
    </w:p>
    <w:p>
      <w:pPr>
        <w:spacing w:line="56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泛酸又名“遍多酸”，曾称维生素B5。泛酸在自然界有广泛的食物来源，主要是肝、肾、蛋黄、肉类和全谷食品。</w:t>
      </w:r>
    </w:p>
    <w:p>
      <w:pPr>
        <w:spacing w:line="560" w:lineRule="exact"/>
        <w:ind w:firstLine="640" w:firstLineChars="200"/>
        <w:rPr>
          <w:rFonts w:hint="eastAsia" w:ascii="仿宋_GB2312" w:hAnsi="仿宋" w:eastAsia="仿宋_GB2312" w:cs="仿宋_GB2312"/>
          <w:color w:val="auto"/>
          <w:sz w:val="32"/>
          <w:szCs w:val="32"/>
        </w:rPr>
      </w:pPr>
    </w:p>
    <w:p>
      <w:pPr>
        <w:numPr>
          <w:ilvl w:val="0"/>
          <w:numId w:val="0"/>
        </w:numPr>
        <w:spacing w:line="56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泛酸的主要生理功能是构成辅酶A和酰基载体蛋白，并通过它们在代谢中发挥作用，参与体内碳水化合物、脂质和蛋白质的代谢。</w:t>
      </w:r>
      <w:r>
        <w:rPr>
          <w:rFonts w:hint="eastAsia" w:ascii="仿宋_GB2312" w:hAnsi="仿宋" w:cs="仿宋_GB2312"/>
          <w:color w:val="auto"/>
          <w:sz w:val="32"/>
          <w:szCs w:val="32"/>
          <w:lang w:eastAsia="zh-CN"/>
        </w:rPr>
        <w:t>《食品安全国家标准 运动营养食品通则》</w:t>
      </w:r>
      <w:r>
        <w:rPr>
          <w:rFonts w:hint="eastAsia" w:ascii="仿宋_GB2312" w:hAnsi="仿宋" w:eastAsia="仿宋_GB2312"/>
          <w:color w:val="auto"/>
          <w:sz w:val="32"/>
          <w:szCs w:val="32"/>
        </w:rPr>
        <w:t xml:space="preserve">（GB </w:t>
      </w:r>
      <w:r>
        <w:rPr>
          <w:rFonts w:hint="eastAsia" w:ascii="仿宋_GB2312" w:hAnsi="仿宋"/>
          <w:color w:val="auto"/>
          <w:sz w:val="32"/>
          <w:szCs w:val="32"/>
          <w:lang w:val="en-US" w:eastAsia="zh-CN"/>
        </w:rPr>
        <w:t>24154</w:t>
      </w:r>
      <w:r>
        <w:rPr>
          <w:rFonts w:hint="eastAsia" w:ascii="仿宋_GB2312" w:hAnsi="仿宋" w:eastAsia="仿宋_GB2312"/>
          <w:color w:val="auto"/>
          <w:sz w:val="32"/>
          <w:szCs w:val="32"/>
        </w:rPr>
        <w:t>-201</w:t>
      </w:r>
      <w:r>
        <w:rPr>
          <w:rFonts w:hint="eastAsia" w:ascii="仿宋_GB2312" w:hAnsi="仿宋"/>
          <w:color w:val="auto"/>
          <w:sz w:val="32"/>
          <w:szCs w:val="32"/>
          <w:lang w:val="en-US" w:eastAsia="zh-CN"/>
        </w:rPr>
        <w:t>5</w:t>
      </w:r>
      <w:r>
        <w:rPr>
          <w:rFonts w:hint="eastAsia" w:ascii="仿宋_GB2312" w:hAnsi="仿宋" w:eastAsia="仿宋_GB2312"/>
          <w:color w:val="auto"/>
          <w:sz w:val="32"/>
          <w:szCs w:val="32"/>
        </w:rPr>
        <w:t>）</w:t>
      </w:r>
      <w:r>
        <w:rPr>
          <w:rFonts w:hint="eastAsia" w:ascii="仿宋_GB2312" w:hAnsi="仿宋"/>
          <w:color w:val="auto"/>
          <w:sz w:val="32"/>
          <w:szCs w:val="32"/>
          <w:highlight w:val="none"/>
          <w:lang w:eastAsia="zh-CN"/>
        </w:rPr>
        <w:t>规定泛酸</w:t>
      </w:r>
      <w:r>
        <w:rPr>
          <w:rFonts w:hint="eastAsia" w:ascii="仿宋_GB2312" w:hAnsi="仿宋" w:eastAsia="仿宋_GB2312"/>
          <w:color w:val="auto"/>
          <w:sz w:val="32"/>
          <w:szCs w:val="32"/>
          <w:highlight w:val="none"/>
        </w:rPr>
        <w:t>含量</w:t>
      </w:r>
      <w:r>
        <w:rPr>
          <w:rFonts w:hint="eastAsia" w:ascii="仿宋_GB2312" w:hAnsi="仿宋"/>
          <w:color w:val="auto"/>
          <w:sz w:val="32"/>
          <w:szCs w:val="32"/>
          <w:highlight w:val="none"/>
          <w:lang w:eastAsia="zh-CN"/>
        </w:rPr>
        <w:t>应满足（</w:t>
      </w:r>
      <w:r>
        <w:rPr>
          <w:rFonts w:hint="eastAsia" w:ascii="仿宋_GB2312" w:hAnsi="仿宋"/>
          <w:color w:val="auto"/>
          <w:sz w:val="32"/>
          <w:szCs w:val="32"/>
          <w:highlight w:val="none"/>
          <w:lang w:val="en-US" w:eastAsia="zh-CN"/>
        </w:rPr>
        <w:t>0.8～7</w:t>
      </w:r>
      <w:r>
        <w:rPr>
          <w:rFonts w:hint="eastAsia" w:ascii="仿宋_GB2312" w:hAnsi="仿宋"/>
          <w:color w:val="auto"/>
          <w:sz w:val="32"/>
          <w:szCs w:val="32"/>
          <w:highlight w:val="none"/>
          <w:lang w:eastAsia="zh-CN"/>
        </w:rPr>
        <w:t>）</w:t>
      </w:r>
      <w:r>
        <w:rPr>
          <w:rFonts w:hint="eastAsia" w:ascii="仿宋_GB2312" w:hAnsi="仿宋" w:eastAsia="仿宋_GB2312"/>
          <w:color w:val="auto"/>
          <w:sz w:val="32"/>
          <w:szCs w:val="32"/>
          <w:highlight w:val="none"/>
        </w:rPr>
        <w:t>mg/(以每日计)</w:t>
      </w:r>
      <w:r>
        <w:rPr>
          <w:rFonts w:hint="eastAsia" w:ascii="仿宋_GB2312" w:hAnsi="仿宋"/>
          <w:color w:val="auto"/>
          <w:sz w:val="32"/>
          <w:szCs w:val="32"/>
          <w:highlight w:val="none"/>
          <w:lang w:eastAsia="zh-CN"/>
        </w:rPr>
        <w:t>。</w:t>
      </w:r>
      <w:r>
        <w:rPr>
          <w:rFonts w:hint="eastAsia" w:ascii="仿宋_GB2312" w:hAnsi="仿宋" w:eastAsia="仿宋_GB2312" w:cs="仿宋_GB2312"/>
          <w:color w:val="auto"/>
          <w:sz w:val="32"/>
          <w:szCs w:val="32"/>
        </w:rPr>
        <w:t>人类因膳食因素引起的单纯泛酸缺乏病十分少见，个别见于严重营养不良及使用代谢拮抗剂的患者。泛酸毒性很低，人体对其有很好的耐受性，偶尔可产生轻度腹泻。</w:t>
      </w:r>
      <w:r>
        <w:rPr>
          <w:rFonts w:hint="eastAsia" w:ascii="仿宋_GB2312" w:hAnsi="仿宋" w:cs="仿宋_GB2312"/>
          <w:color w:val="auto"/>
          <w:sz w:val="32"/>
          <w:szCs w:val="32"/>
          <w:lang w:eastAsia="zh-CN"/>
        </w:rPr>
        <w:t>营养素</w:t>
      </w:r>
      <w:r>
        <w:rPr>
          <w:rFonts w:hint="eastAsia" w:ascii="仿宋_GB2312" w:hAnsi="仿宋" w:eastAsia="仿宋_GB2312" w:cs="仿宋"/>
          <w:color w:val="auto"/>
          <w:sz w:val="32"/>
          <w:szCs w:val="32"/>
          <w:lang w:val="zh-CN"/>
        </w:rPr>
        <w:t>含量</w:t>
      </w:r>
      <w:r>
        <w:rPr>
          <w:rFonts w:hint="eastAsia" w:ascii="仿宋_GB2312" w:hAnsi="仿宋" w:cs="仿宋"/>
          <w:color w:val="auto"/>
          <w:sz w:val="32"/>
          <w:szCs w:val="32"/>
          <w:lang w:val="zh-CN"/>
        </w:rPr>
        <w:t>超量的</w:t>
      </w:r>
      <w:r>
        <w:rPr>
          <w:rFonts w:hint="eastAsia" w:ascii="仿宋_GB2312" w:hAnsi="仿宋" w:eastAsia="仿宋_GB2312" w:cs="仿宋"/>
          <w:color w:val="auto"/>
          <w:sz w:val="32"/>
          <w:szCs w:val="32"/>
          <w:lang w:val="zh-CN"/>
        </w:rPr>
        <w:t>原因，可能是原辅料用食品营养强化剂不满足质量规格要求；或者生产加工过程中搅拌不均匀等。</w:t>
      </w:r>
    </w:p>
    <w:p>
      <w:pPr>
        <w:spacing w:line="560" w:lineRule="exact"/>
        <w:ind w:firstLine="643"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w:t>
      </w:r>
      <w:r>
        <w:rPr>
          <w:rFonts w:hint="eastAsia" w:ascii="楷体_GB2312" w:hAnsi="楷体" w:eastAsia="楷体_GB2312" w:cs="Arial"/>
          <w:b/>
          <w:color w:val="auto"/>
          <w:sz w:val="32"/>
          <w:szCs w:val="32"/>
          <w:shd w:val="clear" w:color="auto" w:fill="FFFFFF"/>
          <w:lang w:eastAsia="zh-CN"/>
        </w:rPr>
        <w:t>四</w:t>
      </w:r>
      <w:r>
        <w:rPr>
          <w:rFonts w:hint="eastAsia" w:ascii="楷体_GB2312" w:hAnsi="楷体" w:eastAsia="楷体_GB2312" w:cs="Arial"/>
          <w:b/>
          <w:color w:val="auto"/>
          <w:sz w:val="32"/>
          <w:szCs w:val="32"/>
          <w:shd w:val="clear" w:color="auto" w:fill="FFFFFF"/>
        </w:rPr>
        <w:t>）氟苯尼考</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氟苯尼考又称氟甲砜霉素，是农业部批准使用的动物专用抗菌药，主要用于敏感细菌所致的猪、鸡、鱼的细菌性疾病。</w:t>
      </w:r>
      <w:r>
        <w:rPr>
          <w:rFonts w:hint="eastAsia" w:ascii="仿宋_GB2312" w:hAnsi="仿宋" w:eastAsia="仿宋_GB2312"/>
          <w:color w:val="auto"/>
          <w:sz w:val="32"/>
          <w:szCs w:val="32"/>
        </w:rPr>
        <w:t>《食品安全国家标准 食品中兽药最大残留限量》（GB 31650-2019）中</w:t>
      </w:r>
      <w:r>
        <w:rPr>
          <w:rFonts w:hint="eastAsia" w:ascii="仿宋_GB2312" w:hAnsi="仿宋" w:eastAsia="仿宋_GB2312" w:cs="仿宋"/>
          <w:color w:val="auto"/>
          <w:sz w:val="32"/>
          <w:szCs w:val="32"/>
        </w:rPr>
        <w:t>规定，氟苯尼考可用于猪、牛、羊、禽、鱼等，但在产蛋期家禽中禁用（鸡蛋、鹅蛋中不得检出）。正常情况下消费者不必对禽蛋中检出氟苯尼考过于担心，但长期食用氟苯尼考残留超标的蛋品，对人体健康有一定风险。</w:t>
      </w:r>
    </w:p>
    <w:p>
      <w:pPr>
        <w:numPr>
          <w:ilvl w:val="0"/>
          <w:numId w:val="1"/>
        </w:numPr>
        <w:spacing w:line="560" w:lineRule="exact"/>
        <w:ind w:firstLine="643" w:firstLineChars="200"/>
        <w:rPr>
          <w:rFonts w:hint="eastAsia"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钙</w:t>
      </w:r>
    </w:p>
    <w:p>
      <w:pPr>
        <w:numPr>
          <w:ilvl w:val="0"/>
          <w:numId w:val="0"/>
        </w:numPr>
        <w:spacing w:line="560" w:lineRule="exact"/>
        <w:ind w:firstLine="640" w:firstLineChars="200"/>
        <w:rPr>
          <w:rFonts w:ascii="仿宋_GB2312" w:hAnsi="仿宋" w:eastAsia="仿宋_GB2312" w:cs="宋体"/>
          <w:color w:val="auto"/>
          <w:kern w:val="0"/>
          <w:sz w:val="32"/>
          <w:szCs w:val="32"/>
          <w:lang w:val="zh-CN"/>
        </w:rPr>
      </w:pPr>
      <w:r>
        <w:rPr>
          <w:rFonts w:hint="eastAsia" w:ascii="仿宋_GB2312" w:hAnsi="仿宋" w:eastAsia="仿宋_GB2312" w:cs="仿宋"/>
          <w:color w:val="auto"/>
          <w:sz w:val="32"/>
          <w:szCs w:val="32"/>
          <w:lang w:val="zh-CN"/>
        </w:rPr>
        <w:t>钙是人体必需的元素，是人类骨、齿的主要无机成分，也是神经传递、肌肉收缩等所必需的元素，人体中钙含量不足或过剩都会影响生长发育和健康。</w:t>
      </w:r>
      <w:r>
        <w:rPr>
          <w:rFonts w:hint="eastAsia" w:ascii="仿宋_GB2312" w:hAnsi="仿宋" w:cs="仿宋_GB2312"/>
          <w:color w:val="auto"/>
          <w:sz w:val="32"/>
          <w:szCs w:val="32"/>
          <w:lang w:eastAsia="zh-CN"/>
        </w:rPr>
        <w:t>《食品安全国家标准 运动营养食品通则》</w:t>
      </w:r>
      <w:r>
        <w:rPr>
          <w:rFonts w:hint="eastAsia" w:ascii="仿宋_GB2312" w:hAnsi="仿宋" w:eastAsia="仿宋_GB2312"/>
          <w:color w:val="auto"/>
          <w:sz w:val="32"/>
          <w:szCs w:val="32"/>
        </w:rPr>
        <w:t xml:space="preserve">（GB </w:t>
      </w:r>
      <w:r>
        <w:rPr>
          <w:rFonts w:hint="eastAsia" w:ascii="仿宋_GB2312" w:hAnsi="仿宋"/>
          <w:color w:val="auto"/>
          <w:sz w:val="32"/>
          <w:szCs w:val="32"/>
          <w:lang w:val="en-US" w:eastAsia="zh-CN"/>
        </w:rPr>
        <w:t>24154</w:t>
      </w:r>
      <w:r>
        <w:rPr>
          <w:rFonts w:hint="eastAsia" w:ascii="仿宋_GB2312" w:hAnsi="仿宋" w:eastAsia="仿宋_GB2312"/>
          <w:color w:val="auto"/>
          <w:sz w:val="32"/>
          <w:szCs w:val="32"/>
        </w:rPr>
        <w:t>-201</w:t>
      </w:r>
      <w:r>
        <w:rPr>
          <w:rFonts w:hint="eastAsia" w:ascii="仿宋_GB2312" w:hAnsi="仿宋"/>
          <w:color w:val="auto"/>
          <w:sz w:val="32"/>
          <w:szCs w:val="32"/>
          <w:lang w:val="en-US" w:eastAsia="zh-CN"/>
        </w:rPr>
        <w:t>5</w:t>
      </w:r>
      <w:r>
        <w:rPr>
          <w:rFonts w:hint="eastAsia" w:ascii="仿宋_GB2312" w:hAnsi="仿宋" w:eastAsia="仿宋_GB2312"/>
          <w:color w:val="auto"/>
          <w:sz w:val="32"/>
          <w:szCs w:val="32"/>
        </w:rPr>
        <w:t>）</w:t>
      </w:r>
      <w:r>
        <w:rPr>
          <w:rFonts w:hint="eastAsia" w:ascii="仿宋_GB2312" w:hAnsi="仿宋"/>
          <w:color w:val="auto"/>
          <w:sz w:val="32"/>
          <w:szCs w:val="32"/>
          <w:highlight w:val="none"/>
          <w:lang w:eastAsia="zh-CN"/>
        </w:rPr>
        <w:t>规定钙</w:t>
      </w:r>
      <w:r>
        <w:rPr>
          <w:rFonts w:hint="eastAsia" w:ascii="仿宋_GB2312" w:hAnsi="仿宋" w:eastAsia="仿宋_GB2312"/>
          <w:color w:val="auto"/>
          <w:sz w:val="32"/>
          <w:szCs w:val="32"/>
          <w:highlight w:val="none"/>
        </w:rPr>
        <w:t>含量</w:t>
      </w:r>
      <w:r>
        <w:rPr>
          <w:rFonts w:hint="eastAsia" w:ascii="仿宋_GB2312" w:hAnsi="仿宋"/>
          <w:color w:val="auto"/>
          <w:sz w:val="32"/>
          <w:szCs w:val="32"/>
          <w:highlight w:val="none"/>
          <w:lang w:eastAsia="zh-CN"/>
        </w:rPr>
        <w:t>应满足（</w:t>
      </w:r>
      <w:r>
        <w:rPr>
          <w:rFonts w:hint="eastAsia" w:ascii="仿宋_GB2312" w:hAnsi="仿宋"/>
          <w:color w:val="auto"/>
          <w:sz w:val="32"/>
          <w:szCs w:val="32"/>
          <w:highlight w:val="none"/>
          <w:lang w:val="en-US" w:eastAsia="zh-CN"/>
        </w:rPr>
        <w:t>150～</w:t>
      </w:r>
      <w:r>
        <w:rPr>
          <w:rFonts w:hint="eastAsia" w:ascii="仿宋_GB2312" w:hAnsi="仿宋"/>
          <w:color w:val="auto"/>
          <w:sz w:val="32"/>
          <w:szCs w:val="32"/>
          <w:highlight w:val="none"/>
          <w:lang w:eastAsia="zh-CN"/>
        </w:rPr>
        <w:t>800）mg/(以每日计)。</w:t>
      </w:r>
      <w:r>
        <w:rPr>
          <w:rFonts w:hint="eastAsia" w:ascii="仿宋_GB2312" w:hAnsi="仿宋" w:cs="仿宋_GB2312"/>
          <w:color w:val="auto"/>
          <w:sz w:val="32"/>
          <w:szCs w:val="32"/>
          <w:lang w:eastAsia="zh-CN"/>
        </w:rPr>
        <w:t>营养素</w:t>
      </w:r>
      <w:r>
        <w:rPr>
          <w:rFonts w:hint="eastAsia" w:ascii="仿宋_GB2312" w:hAnsi="仿宋" w:eastAsia="仿宋_GB2312" w:cs="仿宋"/>
          <w:color w:val="auto"/>
          <w:sz w:val="32"/>
          <w:szCs w:val="32"/>
          <w:lang w:val="zh-CN"/>
        </w:rPr>
        <w:t>含量</w:t>
      </w:r>
      <w:r>
        <w:rPr>
          <w:rFonts w:hint="eastAsia" w:ascii="仿宋_GB2312" w:hAnsi="仿宋" w:cs="仿宋"/>
          <w:color w:val="auto"/>
          <w:sz w:val="32"/>
          <w:szCs w:val="32"/>
          <w:lang w:val="zh-CN"/>
        </w:rPr>
        <w:t>超量的</w:t>
      </w:r>
      <w:r>
        <w:rPr>
          <w:rFonts w:hint="eastAsia" w:ascii="仿宋_GB2312" w:hAnsi="仿宋" w:eastAsia="仿宋_GB2312" w:cs="仿宋"/>
          <w:color w:val="auto"/>
          <w:sz w:val="32"/>
          <w:szCs w:val="32"/>
          <w:lang w:val="zh-CN"/>
        </w:rPr>
        <w:t>原因，可能是原辅料用食品营养强化剂不满足质量规格要求；或者生产加工过程中搅拌不均匀等。</w:t>
      </w:r>
    </w:p>
    <w:p>
      <w:pPr>
        <w:numPr>
          <w:ilvl w:val="0"/>
          <w:numId w:val="0"/>
        </w:numPr>
        <w:spacing w:line="560" w:lineRule="exact"/>
        <w:ind w:firstLine="643" w:firstLineChars="200"/>
        <w:rPr>
          <w:rFonts w:hint="eastAsia"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lang w:eastAsia="zh-CN"/>
        </w:rPr>
        <w:t>（六）</w:t>
      </w:r>
      <w:r>
        <w:rPr>
          <w:rFonts w:hint="eastAsia" w:ascii="楷体_GB2312" w:hAnsi="楷体" w:eastAsia="楷体_GB2312" w:cs="Arial"/>
          <w:b/>
          <w:color w:val="auto"/>
          <w:sz w:val="32"/>
          <w:szCs w:val="32"/>
          <w:shd w:val="clear" w:color="auto" w:fill="FFFFFF"/>
        </w:rPr>
        <w:t>锌</w:t>
      </w:r>
    </w:p>
    <w:p>
      <w:pPr>
        <w:numPr>
          <w:ilvl w:val="0"/>
          <w:numId w:val="0"/>
        </w:numPr>
        <w:spacing w:line="560" w:lineRule="exact"/>
        <w:ind w:firstLine="480" w:firstLineChars="200"/>
        <w:rPr>
          <w:rFonts w:hint="eastAsia" w:ascii="仿宋_GB2312" w:hAnsi="仿宋" w:eastAsia="仿宋_GB2312" w:cs="仿宋"/>
          <w:color w:val="auto"/>
          <w:sz w:val="32"/>
          <w:szCs w:val="32"/>
          <w:lang w:val="zh-CN"/>
        </w:rPr>
      </w:pPr>
      <w:r>
        <w:rPr>
          <w:rFonts w:ascii="宋体" w:hAnsi="宋体" w:cs="宋体"/>
          <w:color w:val="auto"/>
          <w:kern w:val="0"/>
          <w:sz w:val="24"/>
          <w:szCs w:val="24"/>
        </w:rPr>
        <w:t> </w:t>
      </w:r>
      <w:r>
        <w:rPr>
          <w:rFonts w:hint="eastAsia" w:ascii="仿宋_GB2312" w:hAnsi="仿宋" w:eastAsia="仿宋_GB2312" w:cs="仿宋"/>
          <w:color w:val="auto"/>
          <w:sz w:val="32"/>
          <w:szCs w:val="32"/>
          <w:lang w:val="zh-CN"/>
        </w:rPr>
        <w:t>锌是人体生命活动必需的微量元素之一，参与体内酶类、核酸、蛋白质代谢、激素代谢等过程，婴幼儿缺锌会导致各类病症，例如：食欲不振、生长发育迟缓等。</w:t>
      </w:r>
      <w:r>
        <w:rPr>
          <w:rFonts w:hint="eastAsia" w:ascii="仿宋_GB2312" w:hAnsi="仿宋" w:cs="仿宋_GB2312"/>
          <w:color w:val="auto"/>
          <w:sz w:val="32"/>
          <w:szCs w:val="32"/>
          <w:lang w:eastAsia="zh-CN"/>
        </w:rPr>
        <w:t>《食品安全国家标准 运动营养食品通则》</w:t>
      </w:r>
      <w:r>
        <w:rPr>
          <w:rFonts w:hint="eastAsia" w:ascii="仿宋_GB2312" w:hAnsi="仿宋" w:eastAsia="仿宋_GB2312"/>
          <w:color w:val="auto"/>
          <w:sz w:val="32"/>
          <w:szCs w:val="32"/>
        </w:rPr>
        <w:t xml:space="preserve">（GB </w:t>
      </w:r>
      <w:r>
        <w:rPr>
          <w:rFonts w:hint="eastAsia" w:ascii="仿宋_GB2312" w:hAnsi="仿宋"/>
          <w:color w:val="auto"/>
          <w:sz w:val="32"/>
          <w:szCs w:val="32"/>
          <w:lang w:val="en-US" w:eastAsia="zh-CN"/>
        </w:rPr>
        <w:t>24154</w:t>
      </w:r>
      <w:r>
        <w:rPr>
          <w:rFonts w:hint="eastAsia" w:ascii="仿宋_GB2312" w:hAnsi="仿宋" w:eastAsia="仿宋_GB2312"/>
          <w:color w:val="auto"/>
          <w:sz w:val="32"/>
          <w:szCs w:val="32"/>
        </w:rPr>
        <w:t>-201</w:t>
      </w:r>
      <w:r>
        <w:rPr>
          <w:rFonts w:hint="eastAsia" w:ascii="仿宋_GB2312" w:hAnsi="仿宋"/>
          <w:color w:val="auto"/>
          <w:sz w:val="32"/>
          <w:szCs w:val="32"/>
          <w:lang w:val="en-US" w:eastAsia="zh-CN"/>
        </w:rPr>
        <w:t>5</w:t>
      </w:r>
      <w:r>
        <w:rPr>
          <w:rFonts w:hint="eastAsia" w:ascii="仿宋_GB2312" w:hAnsi="仿宋" w:eastAsia="仿宋_GB2312"/>
          <w:color w:val="auto"/>
          <w:sz w:val="32"/>
          <w:szCs w:val="32"/>
        </w:rPr>
        <w:t>）</w:t>
      </w:r>
      <w:r>
        <w:rPr>
          <w:rFonts w:hint="eastAsia" w:ascii="仿宋_GB2312" w:hAnsi="仿宋"/>
          <w:color w:val="auto"/>
          <w:sz w:val="32"/>
          <w:szCs w:val="32"/>
          <w:highlight w:val="none"/>
          <w:lang w:eastAsia="zh-CN"/>
        </w:rPr>
        <w:t>规定锌</w:t>
      </w:r>
      <w:r>
        <w:rPr>
          <w:rFonts w:hint="eastAsia" w:ascii="仿宋_GB2312" w:hAnsi="仿宋" w:eastAsia="仿宋_GB2312"/>
          <w:color w:val="auto"/>
          <w:sz w:val="32"/>
          <w:szCs w:val="32"/>
          <w:highlight w:val="none"/>
        </w:rPr>
        <w:t>含量</w:t>
      </w:r>
      <w:r>
        <w:rPr>
          <w:rFonts w:hint="eastAsia" w:ascii="仿宋_GB2312" w:hAnsi="仿宋"/>
          <w:color w:val="auto"/>
          <w:sz w:val="32"/>
          <w:szCs w:val="32"/>
          <w:highlight w:val="none"/>
          <w:lang w:eastAsia="zh-CN"/>
        </w:rPr>
        <w:t>应满足（</w:t>
      </w:r>
      <w:r>
        <w:rPr>
          <w:rFonts w:hint="eastAsia" w:ascii="仿宋_GB2312" w:hAnsi="仿宋"/>
          <w:color w:val="auto"/>
          <w:sz w:val="32"/>
          <w:szCs w:val="32"/>
          <w:highlight w:val="none"/>
          <w:lang w:val="en-US" w:eastAsia="zh-CN"/>
        </w:rPr>
        <w:t>1.7～</w:t>
      </w:r>
      <w:r>
        <w:rPr>
          <w:rFonts w:hint="eastAsia" w:ascii="仿宋_GB2312" w:hAnsi="仿宋"/>
          <w:color w:val="auto"/>
          <w:sz w:val="32"/>
          <w:szCs w:val="32"/>
          <w:highlight w:val="none"/>
          <w:lang w:eastAsia="zh-CN"/>
        </w:rPr>
        <w:t>12）mg/(以每日计)。</w:t>
      </w:r>
      <w:r>
        <w:rPr>
          <w:rFonts w:hint="eastAsia" w:ascii="仿宋_GB2312" w:hAnsi="仿宋" w:cs="仿宋_GB2312"/>
          <w:color w:val="auto"/>
          <w:sz w:val="32"/>
          <w:szCs w:val="32"/>
          <w:lang w:eastAsia="zh-CN"/>
        </w:rPr>
        <w:t>营养素</w:t>
      </w:r>
      <w:r>
        <w:rPr>
          <w:rFonts w:hint="eastAsia" w:ascii="仿宋_GB2312" w:hAnsi="仿宋" w:eastAsia="仿宋_GB2312" w:cs="仿宋"/>
          <w:color w:val="auto"/>
          <w:sz w:val="32"/>
          <w:szCs w:val="32"/>
          <w:lang w:val="zh-CN"/>
        </w:rPr>
        <w:t>含量</w:t>
      </w:r>
      <w:r>
        <w:rPr>
          <w:rFonts w:hint="eastAsia" w:ascii="仿宋_GB2312" w:hAnsi="仿宋" w:cs="仿宋"/>
          <w:color w:val="auto"/>
          <w:sz w:val="32"/>
          <w:szCs w:val="32"/>
          <w:lang w:val="zh-CN"/>
        </w:rPr>
        <w:t>超量的</w:t>
      </w:r>
      <w:r>
        <w:rPr>
          <w:rFonts w:hint="eastAsia" w:ascii="仿宋_GB2312" w:hAnsi="仿宋" w:eastAsia="仿宋_GB2312" w:cs="仿宋"/>
          <w:color w:val="auto"/>
          <w:sz w:val="32"/>
          <w:szCs w:val="32"/>
          <w:lang w:val="zh-CN"/>
        </w:rPr>
        <w:t>原因，可能是原辅料用食品营养强化剂不满足质量规格要求；或者生产加工过程中搅拌不均匀等。</w:t>
      </w:r>
    </w:p>
    <w:p>
      <w:pPr>
        <w:spacing w:line="560" w:lineRule="exact"/>
        <w:ind w:firstLine="482" w:firstLineChars="150"/>
        <w:rPr>
          <w:rFonts w:ascii="楷体_GB2312" w:hAnsi="楷体" w:eastAsia="楷体_GB2312"/>
          <w:b/>
          <w:color w:val="000000" w:themeColor="text1"/>
          <w:sz w:val="32"/>
          <w:szCs w:val="32"/>
          <w14:textFill>
            <w14:solidFill>
              <w14:schemeClr w14:val="tx1"/>
            </w14:solidFill>
          </w14:textFill>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七</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b/>
          <w:color w:val="000000" w:themeColor="text1"/>
          <w:sz w:val="32"/>
          <w:szCs w:val="32"/>
          <w14:textFill>
            <w14:solidFill>
              <w14:schemeClr w14:val="tx1"/>
            </w14:solidFill>
          </w14:textFill>
        </w:rPr>
        <w:t>菌落总数</w:t>
      </w:r>
    </w:p>
    <w:p>
      <w:pPr>
        <w:spacing w:line="560" w:lineRule="exact"/>
        <w:ind w:firstLine="640" w:firstLineChars="200"/>
        <w:rPr>
          <w:rFonts w:ascii="仿宋_GB2312" w:hAnsi="楷体" w:eastAsia="仿宋_GB2312" w:cs="Arial"/>
          <w:b/>
          <w:color w:val="000000" w:themeColor="text1"/>
          <w:sz w:val="32"/>
          <w:szCs w:val="32"/>
          <w:shd w:val="clear" w:color="auto" w:fill="FFFFFF"/>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sz w:val="32"/>
          <w:szCs w:val="32"/>
        </w:rPr>
        <w:t>《</w:t>
      </w:r>
      <w:r>
        <w:rPr>
          <w:rFonts w:hint="eastAsia" w:ascii="仿宋_GB2312" w:hAnsi="仿宋" w:cs="仿宋"/>
          <w:sz w:val="32"/>
          <w:szCs w:val="32"/>
          <w:lang w:eastAsia="zh-CN"/>
        </w:rPr>
        <w:t>鸡精调味料</w:t>
      </w:r>
      <w:r>
        <w:rPr>
          <w:rFonts w:hint="eastAsia" w:ascii="仿宋_GB2312" w:hAnsi="仿宋" w:eastAsia="仿宋_GB2312" w:cs="仿宋"/>
          <w:sz w:val="32"/>
          <w:szCs w:val="32"/>
        </w:rPr>
        <w:t>》（</w:t>
      </w:r>
      <w:r>
        <w:rPr>
          <w:rFonts w:hint="eastAsia" w:ascii="仿宋_GB2312" w:hAnsi="仿宋" w:cs="仿宋"/>
          <w:sz w:val="32"/>
          <w:szCs w:val="32"/>
          <w:lang w:val="en-US" w:eastAsia="zh-CN"/>
        </w:rPr>
        <w:t>S</w:t>
      </w:r>
      <w:r>
        <w:rPr>
          <w:rFonts w:hint="eastAsia" w:ascii="仿宋_GB2312" w:hAnsi="仿宋" w:eastAsia="仿宋_GB2312" w:cs="仿宋"/>
          <w:sz w:val="32"/>
          <w:szCs w:val="32"/>
        </w:rPr>
        <w:t>B</w:t>
      </w:r>
      <w:r>
        <w:rPr>
          <w:rFonts w:hint="eastAsia" w:ascii="仿宋_GB2312" w:hAnsi="仿宋" w:cs="仿宋"/>
          <w:sz w:val="32"/>
          <w:szCs w:val="32"/>
          <w:lang w:val="en-US" w:eastAsia="zh-CN"/>
        </w:rPr>
        <w:t>/T</w:t>
      </w:r>
      <w:r>
        <w:rPr>
          <w:rFonts w:hint="eastAsia" w:ascii="仿宋_GB2312" w:hAnsi="仿宋" w:eastAsia="仿宋_GB2312" w:cs="仿宋"/>
          <w:sz w:val="32"/>
          <w:szCs w:val="32"/>
        </w:rPr>
        <w:t xml:space="preserve"> </w:t>
      </w:r>
      <w:r>
        <w:rPr>
          <w:rFonts w:hint="eastAsia" w:ascii="仿宋_GB2312" w:hAnsi="仿宋" w:cs="仿宋"/>
          <w:sz w:val="32"/>
          <w:szCs w:val="32"/>
          <w:lang w:val="en-US" w:eastAsia="zh-CN"/>
        </w:rPr>
        <w:t>10371-</w:t>
      </w:r>
      <w:r>
        <w:rPr>
          <w:rFonts w:hint="eastAsia" w:ascii="仿宋_GB2312" w:hAnsi="仿宋" w:eastAsia="仿宋_GB2312" w:cs="仿宋"/>
          <w:sz w:val="32"/>
          <w:szCs w:val="32"/>
        </w:rPr>
        <w:t>20</w:t>
      </w:r>
      <w:r>
        <w:rPr>
          <w:rFonts w:hint="eastAsia" w:ascii="仿宋_GB2312" w:hAnsi="仿宋" w:cs="仿宋"/>
          <w:sz w:val="32"/>
          <w:szCs w:val="32"/>
          <w:lang w:val="en-US" w:eastAsia="zh-CN"/>
        </w:rPr>
        <w:t>03</w:t>
      </w:r>
      <w:r>
        <w:rPr>
          <w:rFonts w:hint="eastAsia" w:ascii="仿宋_GB2312" w:hAnsi="仿宋" w:eastAsia="仿宋_GB2312" w:cs="仿宋"/>
          <w:sz w:val="32"/>
          <w:szCs w:val="32"/>
        </w:rPr>
        <w:t>）中规定，</w:t>
      </w:r>
      <w:r>
        <w:rPr>
          <w:rFonts w:hint="eastAsia" w:ascii="仿宋_GB2312" w:hAnsi="仿宋" w:cs="仿宋"/>
          <w:sz w:val="32"/>
          <w:szCs w:val="32"/>
          <w:lang w:eastAsia="zh-CN"/>
        </w:rPr>
        <w:t>鸡精调味料中菌落总数应</w:t>
      </w:r>
      <w:r>
        <w:rPr>
          <w:rFonts w:hint="eastAsia" w:ascii="仿宋_GB2312" w:hAnsi="仿宋" w:eastAsia="仿宋_GB2312"/>
          <w:color w:val="000000" w:themeColor="text1"/>
          <w:sz w:val="32"/>
          <w:szCs w:val="32"/>
          <w14:textFill>
            <w14:solidFill>
              <w14:schemeClr w14:val="tx1"/>
            </w14:solidFill>
          </w14:textFill>
        </w:rPr>
        <w:t>≤1</w:t>
      </w:r>
      <w:r>
        <w:rPr>
          <w:rFonts w:hint="eastAsia" w:ascii="仿宋_GB2312" w:hAnsi="仿宋"/>
          <w:color w:val="000000" w:themeColor="text1"/>
          <w:sz w:val="32"/>
          <w:szCs w:val="32"/>
          <w:lang w:val="en-US" w:eastAsia="zh-CN"/>
          <w14:textFill>
            <w14:solidFill>
              <w14:schemeClr w14:val="tx1"/>
            </w14:solidFill>
          </w14:textFill>
        </w:rPr>
        <w:t>0000cfu/g</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auto"/>
          <w:sz w:val="32"/>
          <w:szCs w:val="32"/>
        </w:rPr>
        <w:t>食品</w:t>
      </w:r>
      <w:r>
        <w:rPr>
          <w:rFonts w:hint="eastAsia" w:ascii="仿宋_GB2312" w:hAnsi="仿宋" w:eastAsia="仿宋_GB2312"/>
          <w:sz w:val="32"/>
          <w:szCs w:val="32"/>
        </w:rPr>
        <w:t>的菌落总数超标，说明其产品的卫生状况达不到基本的卫生要求，将会破坏食品的营养成分，加速食品的腐败变质，使食品失去食用价值。消费者食用菌落总数</w:t>
      </w:r>
      <w:r>
        <w:rPr>
          <w:rFonts w:hint="eastAsia" w:ascii="仿宋_GB2312" w:hAnsi="仿宋" w:eastAsia="仿宋_GB2312"/>
          <w:color w:val="000000" w:themeColor="text1"/>
          <w:sz w:val="32"/>
          <w:szCs w:val="32"/>
          <w14:textFill>
            <w14:solidFill>
              <w14:schemeClr w14:val="tx1"/>
            </w14:solidFill>
          </w14:textFill>
        </w:rPr>
        <w:t>超标严重的食品，容易患痢疾等肠道疾病，会引起呕吐、腹泻等症状。</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lang w:val="en-US" w:eastAsia="zh-CN"/>
        </w:rPr>
        <w:t>（八）</w:t>
      </w:r>
      <w:r>
        <w:rPr>
          <w:rFonts w:hint="eastAsia" w:ascii="楷体_GB2312" w:hAnsi="楷体" w:eastAsia="楷体_GB2312" w:cs="仿宋_GB2312"/>
          <w:b/>
          <w:sz w:val="32"/>
          <w:szCs w:val="32"/>
        </w:rPr>
        <w:t>维生素A</w:t>
      </w:r>
    </w:p>
    <w:p>
      <w:pPr>
        <w:numPr>
          <w:ilvl w:val="0"/>
          <w:numId w:val="0"/>
        </w:numPr>
        <w:spacing w:line="560" w:lineRule="exact"/>
        <w:ind w:firstLine="640" w:firstLineChars="200"/>
        <w:rPr>
          <w:rFonts w:hint="eastAsia" w:ascii="仿宋_GB2312" w:hAnsi="仿宋" w:eastAsia="仿宋_GB2312" w:cs="仿宋"/>
          <w:color w:val="auto"/>
          <w:sz w:val="32"/>
          <w:szCs w:val="32"/>
          <w:lang w:val="zh-CN"/>
        </w:rPr>
      </w:pPr>
      <w:r>
        <w:rPr>
          <w:rFonts w:hint="eastAsia" w:ascii="仿宋_GB2312" w:hAnsi="仿宋" w:eastAsia="仿宋_GB2312"/>
          <w:color w:val="auto"/>
          <w:sz w:val="32"/>
          <w:szCs w:val="32"/>
          <w:highlight w:val="none"/>
        </w:rPr>
        <w:t>维生素A又称维生素甲、视黄醇等，为脂溶性维生素品种，有助于维持暗视力和皮肤和粘膜健康，可提高机体免疫功能、促进生长和骨骼发育</w:t>
      </w:r>
      <w:r>
        <w:rPr>
          <w:rFonts w:hint="eastAsia" w:ascii="仿宋_GB2312" w:hAnsi="仿宋" w:eastAsia="仿宋_GB2312"/>
          <w:sz w:val="32"/>
          <w:szCs w:val="32"/>
        </w:rPr>
        <w:t>。</w:t>
      </w:r>
      <w:r>
        <w:rPr>
          <w:rFonts w:hint="eastAsia" w:ascii="仿宋_GB2312" w:hAnsi="仿宋" w:cs="仿宋_GB2312"/>
          <w:color w:val="auto"/>
          <w:sz w:val="32"/>
          <w:szCs w:val="32"/>
          <w:lang w:eastAsia="zh-CN"/>
        </w:rPr>
        <w:t>《食品安全国家标准 运动营养食品通则》</w:t>
      </w:r>
      <w:r>
        <w:rPr>
          <w:rFonts w:hint="eastAsia" w:ascii="仿宋_GB2312" w:hAnsi="仿宋" w:eastAsia="仿宋_GB2312"/>
          <w:color w:val="auto"/>
          <w:sz w:val="32"/>
          <w:szCs w:val="32"/>
        </w:rPr>
        <w:t xml:space="preserve">（GB </w:t>
      </w:r>
      <w:r>
        <w:rPr>
          <w:rFonts w:hint="eastAsia" w:ascii="仿宋_GB2312" w:hAnsi="仿宋"/>
          <w:color w:val="auto"/>
          <w:sz w:val="32"/>
          <w:szCs w:val="32"/>
          <w:lang w:val="en-US" w:eastAsia="zh-CN"/>
        </w:rPr>
        <w:t>24154</w:t>
      </w:r>
      <w:r>
        <w:rPr>
          <w:rFonts w:hint="eastAsia" w:ascii="仿宋_GB2312" w:hAnsi="仿宋" w:eastAsia="仿宋_GB2312"/>
          <w:color w:val="auto"/>
          <w:sz w:val="32"/>
          <w:szCs w:val="32"/>
        </w:rPr>
        <w:t>-201</w:t>
      </w:r>
      <w:r>
        <w:rPr>
          <w:rFonts w:hint="eastAsia" w:ascii="仿宋_GB2312" w:hAnsi="仿宋"/>
          <w:color w:val="auto"/>
          <w:sz w:val="32"/>
          <w:szCs w:val="32"/>
          <w:lang w:val="en-US" w:eastAsia="zh-CN"/>
        </w:rPr>
        <w:t>5</w:t>
      </w:r>
      <w:r>
        <w:rPr>
          <w:rFonts w:hint="eastAsia" w:ascii="仿宋_GB2312" w:hAnsi="仿宋" w:eastAsia="仿宋_GB2312"/>
          <w:color w:val="auto"/>
          <w:sz w:val="32"/>
          <w:szCs w:val="32"/>
        </w:rPr>
        <w:t>）</w:t>
      </w:r>
      <w:r>
        <w:rPr>
          <w:rFonts w:hint="eastAsia" w:ascii="仿宋_GB2312" w:hAnsi="仿宋"/>
          <w:color w:val="auto"/>
          <w:sz w:val="32"/>
          <w:szCs w:val="32"/>
          <w:highlight w:val="none"/>
          <w:lang w:eastAsia="zh-CN"/>
        </w:rPr>
        <w:t>规定</w:t>
      </w:r>
      <w:r>
        <w:rPr>
          <w:rFonts w:hint="eastAsia" w:ascii="仿宋_GB2312" w:hAnsi="仿宋" w:eastAsia="仿宋_GB2312"/>
          <w:color w:val="auto"/>
          <w:sz w:val="32"/>
          <w:szCs w:val="32"/>
          <w:highlight w:val="none"/>
        </w:rPr>
        <w:t>维生素A含量</w:t>
      </w:r>
      <w:r>
        <w:rPr>
          <w:rFonts w:hint="eastAsia" w:ascii="仿宋_GB2312" w:hAnsi="仿宋"/>
          <w:color w:val="auto"/>
          <w:sz w:val="32"/>
          <w:szCs w:val="32"/>
          <w:highlight w:val="none"/>
          <w:lang w:eastAsia="zh-CN"/>
        </w:rPr>
        <w:t>应满足（</w:t>
      </w:r>
      <w:r>
        <w:rPr>
          <w:rFonts w:hint="eastAsia" w:ascii="仿宋_GB2312" w:hAnsi="仿宋"/>
          <w:color w:val="auto"/>
          <w:sz w:val="32"/>
          <w:szCs w:val="32"/>
          <w:highlight w:val="none"/>
          <w:lang w:val="en-US" w:eastAsia="zh-CN"/>
        </w:rPr>
        <w:t>120～</w:t>
      </w:r>
      <w:r>
        <w:rPr>
          <w:rFonts w:hint="eastAsia" w:ascii="仿宋_GB2312" w:hAnsi="仿宋"/>
          <w:color w:val="auto"/>
          <w:sz w:val="32"/>
          <w:szCs w:val="32"/>
          <w:highlight w:val="none"/>
          <w:lang w:eastAsia="zh-CN"/>
        </w:rPr>
        <w:t>375）μg/(以每日计)</w:t>
      </w:r>
      <w:r>
        <w:rPr>
          <w:rFonts w:hint="eastAsia" w:ascii="仿宋_GB2312" w:hAnsi="仿宋" w:eastAsia="仿宋_GB2312"/>
          <w:color w:val="auto"/>
          <w:sz w:val="32"/>
          <w:szCs w:val="32"/>
          <w:highlight w:val="none"/>
        </w:rPr>
        <w:t>。维生</w:t>
      </w:r>
      <w:r>
        <w:rPr>
          <w:rFonts w:hint="eastAsia" w:ascii="仿宋_GB2312" w:hAnsi="仿宋" w:eastAsia="仿宋_GB2312"/>
          <w:color w:val="auto"/>
          <w:sz w:val="32"/>
          <w:szCs w:val="32"/>
          <w:highlight w:val="none"/>
        </w:rPr>
        <w:t>素A补充剂用量过大可引起中毒，急性中毒主要表现为嗜睡或过度兴奋、头痛、呕吐等高颅压症状；出现皮肤红肿、继而脱皮。慢性中毒在成人首先表现为食欲减退、体重下降，继而皮肤干燥、脱屑、毛发干枯等皮肤黏膜损伤，以及四肢疼痛、肝脾肿大等。孕妇在妊娠早期每天大剂量摄入维生素A，娩出畸形儿风险增加。</w:t>
      </w:r>
      <w:r>
        <w:rPr>
          <w:rFonts w:hint="eastAsia" w:ascii="仿宋_GB2312" w:hAnsi="仿宋" w:cs="仿宋_GB2312"/>
          <w:color w:val="auto"/>
          <w:sz w:val="32"/>
          <w:szCs w:val="32"/>
          <w:lang w:eastAsia="zh-CN"/>
        </w:rPr>
        <w:t>营养素</w:t>
      </w:r>
      <w:r>
        <w:rPr>
          <w:rFonts w:hint="eastAsia" w:ascii="仿宋_GB2312" w:hAnsi="仿宋" w:eastAsia="仿宋_GB2312" w:cs="仿宋"/>
          <w:color w:val="auto"/>
          <w:sz w:val="32"/>
          <w:szCs w:val="32"/>
          <w:lang w:val="zh-CN"/>
        </w:rPr>
        <w:t>含量</w:t>
      </w:r>
      <w:r>
        <w:rPr>
          <w:rFonts w:hint="eastAsia" w:ascii="仿宋_GB2312" w:hAnsi="仿宋" w:cs="仿宋"/>
          <w:color w:val="auto"/>
          <w:sz w:val="32"/>
          <w:szCs w:val="32"/>
          <w:lang w:val="zh-CN"/>
        </w:rPr>
        <w:t>超量的</w:t>
      </w:r>
      <w:r>
        <w:rPr>
          <w:rFonts w:hint="eastAsia" w:ascii="仿宋_GB2312" w:hAnsi="仿宋" w:eastAsia="仿宋_GB2312" w:cs="仿宋"/>
          <w:color w:val="auto"/>
          <w:sz w:val="32"/>
          <w:szCs w:val="32"/>
          <w:lang w:val="zh-CN"/>
        </w:rPr>
        <w:t>原因，可能是原辅料用食品营养强化剂不满足质量规格要求；或者生产加工过程中搅拌不均匀等。</w:t>
      </w:r>
    </w:p>
    <w:p>
      <w:pPr>
        <w:spacing w:line="560" w:lineRule="exact"/>
        <w:ind w:firstLine="643" w:firstLineChars="200"/>
        <w:rPr>
          <w:rFonts w:hint="default" w:ascii="楷体_GB2312" w:hAnsi="楷体" w:eastAsia="楷体_GB2312" w:cs="仿宋_GB2312"/>
          <w:b/>
          <w:color w:val="auto"/>
          <w:sz w:val="32"/>
          <w:szCs w:val="32"/>
          <w:vertAlign w:val="subscript"/>
          <w:lang w:val="en-US" w:eastAsia="zh-CN"/>
        </w:rPr>
      </w:pPr>
      <w:r>
        <w:rPr>
          <w:rFonts w:hint="eastAsia" w:ascii="楷体_GB2312" w:hAnsi="楷体" w:eastAsia="楷体_GB2312" w:cs="仿宋_GB2312"/>
          <w:b/>
          <w:color w:val="auto"/>
          <w:sz w:val="32"/>
          <w:szCs w:val="32"/>
          <w:lang w:val="en-US" w:eastAsia="zh-CN"/>
        </w:rPr>
        <w:t>（九）</w:t>
      </w:r>
      <w:r>
        <w:rPr>
          <w:rFonts w:hint="eastAsia" w:ascii="楷体_GB2312" w:hAnsi="楷体" w:eastAsia="楷体_GB2312" w:cs="仿宋_GB2312"/>
          <w:b/>
          <w:color w:val="auto"/>
          <w:sz w:val="32"/>
          <w:szCs w:val="32"/>
        </w:rPr>
        <w:t>维生素</w:t>
      </w:r>
      <w:r>
        <w:rPr>
          <w:rFonts w:hint="eastAsia" w:ascii="楷体_GB2312" w:hAnsi="楷体" w:eastAsia="楷体_GB2312" w:cs="仿宋_GB2312"/>
          <w:b/>
          <w:color w:val="auto"/>
          <w:sz w:val="32"/>
          <w:szCs w:val="32"/>
          <w:lang w:val="en-US" w:eastAsia="zh-CN"/>
        </w:rPr>
        <w:t>B</w:t>
      </w:r>
      <w:r>
        <w:rPr>
          <w:rFonts w:hint="eastAsia" w:ascii="楷体_GB2312" w:hAnsi="楷体" w:eastAsia="楷体_GB2312" w:cs="仿宋_GB2312"/>
          <w:b/>
          <w:color w:val="auto"/>
          <w:sz w:val="32"/>
          <w:szCs w:val="32"/>
          <w:vertAlign w:val="subscript"/>
          <w:lang w:val="en-US" w:eastAsia="zh-CN"/>
        </w:rPr>
        <w:t>2</w:t>
      </w:r>
    </w:p>
    <w:p>
      <w:pPr>
        <w:numPr>
          <w:ilvl w:val="0"/>
          <w:numId w:val="0"/>
        </w:num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维生素B</w:t>
      </w:r>
      <w:r>
        <w:rPr>
          <w:rFonts w:hint="eastAsia" w:ascii="仿宋_GB2312" w:hAnsi="仿宋" w:eastAsia="仿宋_GB2312"/>
          <w:color w:val="auto"/>
          <w:sz w:val="32"/>
          <w:szCs w:val="32"/>
          <w:highlight w:val="none"/>
          <w:vertAlign w:val="subscript"/>
        </w:rPr>
        <w:t>2</w:t>
      </w:r>
      <w:r>
        <w:rPr>
          <w:rFonts w:hint="eastAsia" w:ascii="仿宋_GB2312" w:hAnsi="仿宋" w:eastAsia="仿宋_GB2312"/>
          <w:color w:val="auto"/>
          <w:sz w:val="32"/>
          <w:szCs w:val="32"/>
          <w:highlight w:val="none"/>
        </w:rPr>
        <w:t>又称核黄素，维生素B</w:t>
      </w:r>
      <w:r>
        <w:rPr>
          <w:rFonts w:hint="eastAsia" w:ascii="仿宋_GB2312" w:hAnsi="仿宋" w:eastAsia="仿宋_GB2312"/>
          <w:color w:val="auto"/>
          <w:sz w:val="32"/>
          <w:szCs w:val="32"/>
          <w:highlight w:val="none"/>
          <w:vertAlign w:val="subscript"/>
        </w:rPr>
        <w:t>2</w:t>
      </w:r>
      <w:r>
        <w:rPr>
          <w:rFonts w:hint="eastAsia" w:ascii="仿宋_GB2312" w:hAnsi="仿宋" w:eastAsia="仿宋_GB2312"/>
          <w:color w:val="auto"/>
          <w:sz w:val="32"/>
          <w:szCs w:val="32"/>
          <w:highlight w:val="none"/>
        </w:rPr>
        <w:t>参与体内生物氧化与能量代谢，参与烟酸和维生素B</w:t>
      </w:r>
      <w:r>
        <w:rPr>
          <w:rFonts w:hint="eastAsia" w:ascii="仿宋_GB2312" w:hAnsi="仿宋" w:eastAsia="仿宋_GB2312"/>
          <w:color w:val="auto"/>
          <w:sz w:val="32"/>
          <w:szCs w:val="32"/>
          <w:highlight w:val="none"/>
          <w:vertAlign w:val="subscript"/>
        </w:rPr>
        <w:t>6</w:t>
      </w:r>
      <w:r>
        <w:rPr>
          <w:rFonts w:hint="eastAsia" w:ascii="仿宋_GB2312" w:hAnsi="仿宋" w:eastAsia="仿宋_GB2312"/>
          <w:color w:val="auto"/>
          <w:sz w:val="32"/>
          <w:szCs w:val="32"/>
          <w:highlight w:val="none"/>
        </w:rPr>
        <w:t>的代谢，还参与体内其他一些生化过程，如参与体内抗氧化防御系统、与细胞色素P-450结合参与药物代谢，提高机体对环境应激适应能力等。</w:t>
      </w:r>
      <w:r>
        <w:rPr>
          <w:rFonts w:hint="eastAsia" w:ascii="仿宋_GB2312" w:hAnsi="仿宋" w:cs="仿宋_GB2312"/>
          <w:color w:val="auto"/>
          <w:sz w:val="32"/>
          <w:szCs w:val="32"/>
          <w:lang w:eastAsia="zh-CN"/>
        </w:rPr>
        <w:t>《食品安全国家标准 运动营养食品通则》</w:t>
      </w:r>
      <w:r>
        <w:rPr>
          <w:rFonts w:hint="eastAsia" w:ascii="仿宋_GB2312" w:hAnsi="仿宋" w:eastAsia="仿宋_GB2312"/>
          <w:color w:val="auto"/>
          <w:sz w:val="32"/>
          <w:szCs w:val="32"/>
        </w:rPr>
        <w:t xml:space="preserve">（GB </w:t>
      </w:r>
      <w:r>
        <w:rPr>
          <w:rFonts w:hint="eastAsia" w:ascii="仿宋_GB2312" w:hAnsi="仿宋"/>
          <w:color w:val="auto"/>
          <w:sz w:val="32"/>
          <w:szCs w:val="32"/>
          <w:lang w:val="en-US" w:eastAsia="zh-CN"/>
        </w:rPr>
        <w:t>24154</w:t>
      </w:r>
      <w:r>
        <w:rPr>
          <w:rFonts w:hint="eastAsia" w:ascii="仿宋_GB2312" w:hAnsi="仿宋" w:eastAsia="仿宋_GB2312"/>
          <w:color w:val="auto"/>
          <w:sz w:val="32"/>
          <w:szCs w:val="32"/>
        </w:rPr>
        <w:t>-201</w:t>
      </w:r>
      <w:r>
        <w:rPr>
          <w:rFonts w:hint="eastAsia" w:ascii="仿宋_GB2312" w:hAnsi="仿宋"/>
          <w:color w:val="auto"/>
          <w:sz w:val="32"/>
          <w:szCs w:val="32"/>
          <w:lang w:val="en-US" w:eastAsia="zh-CN"/>
        </w:rPr>
        <w:t>5</w:t>
      </w:r>
      <w:r>
        <w:rPr>
          <w:rFonts w:hint="eastAsia" w:ascii="仿宋_GB2312" w:hAnsi="仿宋" w:eastAsia="仿宋_GB2312"/>
          <w:color w:val="auto"/>
          <w:sz w:val="32"/>
          <w:szCs w:val="32"/>
        </w:rPr>
        <w:t>）</w:t>
      </w:r>
      <w:r>
        <w:rPr>
          <w:rFonts w:hint="eastAsia" w:ascii="仿宋_GB2312" w:hAnsi="仿宋"/>
          <w:color w:val="auto"/>
          <w:sz w:val="32"/>
          <w:szCs w:val="32"/>
          <w:highlight w:val="none"/>
          <w:lang w:eastAsia="zh-CN"/>
        </w:rPr>
        <w:t>规定</w:t>
      </w:r>
      <w:r>
        <w:rPr>
          <w:rFonts w:hint="eastAsia" w:ascii="仿宋_GB2312" w:hAnsi="仿宋" w:eastAsia="仿宋_GB2312"/>
          <w:color w:val="auto"/>
          <w:sz w:val="32"/>
          <w:szCs w:val="32"/>
          <w:highlight w:val="none"/>
        </w:rPr>
        <w:t>维生素B</w:t>
      </w:r>
      <w:r>
        <w:rPr>
          <w:rFonts w:hint="eastAsia" w:ascii="仿宋_GB2312" w:hAnsi="仿宋" w:eastAsia="仿宋_GB2312"/>
          <w:color w:val="auto"/>
          <w:sz w:val="32"/>
          <w:szCs w:val="32"/>
          <w:highlight w:val="none"/>
          <w:vertAlign w:val="subscript"/>
        </w:rPr>
        <w:t>2</w:t>
      </w:r>
      <w:r>
        <w:rPr>
          <w:rFonts w:hint="eastAsia" w:ascii="仿宋_GB2312" w:hAnsi="仿宋" w:eastAsia="仿宋_GB2312"/>
          <w:color w:val="auto"/>
          <w:sz w:val="32"/>
          <w:szCs w:val="32"/>
          <w:highlight w:val="none"/>
        </w:rPr>
        <w:t>含量</w:t>
      </w:r>
      <w:r>
        <w:rPr>
          <w:rFonts w:hint="eastAsia" w:ascii="仿宋_GB2312" w:hAnsi="仿宋"/>
          <w:color w:val="auto"/>
          <w:sz w:val="32"/>
          <w:szCs w:val="32"/>
          <w:highlight w:val="none"/>
          <w:lang w:eastAsia="zh-CN"/>
        </w:rPr>
        <w:t>应满足（</w:t>
      </w:r>
      <w:r>
        <w:rPr>
          <w:rFonts w:hint="eastAsia" w:ascii="仿宋_GB2312" w:hAnsi="仿宋"/>
          <w:color w:val="auto"/>
          <w:sz w:val="32"/>
          <w:szCs w:val="32"/>
          <w:highlight w:val="none"/>
          <w:lang w:val="en-US" w:eastAsia="zh-CN"/>
        </w:rPr>
        <w:t>0.2～2</w:t>
      </w:r>
      <w:r>
        <w:rPr>
          <w:rFonts w:hint="eastAsia" w:ascii="仿宋_GB2312" w:hAnsi="仿宋"/>
          <w:color w:val="auto"/>
          <w:sz w:val="32"/>
          <w:szCs w:val="32"/>
          <w:highlight w:val="none"/>
          <w:lang w:eastAsia="zh-CN"/>
        </w:rPr>
        <w:t>）</w:t>
      </w:r>
      <w:r>
        <w:rPr>
          <w:rFonts w:hint="eastAsia" w:ascii="仿宋_GB2312" w:hAnsi="仿宋"/>
          <w:color w:val="auto"/>
          <w:sz w:val="32"/>
          <w:szCs w:val="32"/>
          <w:highlight w:val="none"/>
          <w:lang w:val="en-US" w:eastAsia="zh-CN"/>
        </w:rPr>
        <w:t>m</w:t>
      </w:r>
      <w:r>
        <w:rPr>
          <w:rFonts w:hint="eastAsia" w:ascii="仿宋_GB2312" w:hAnsi="仿宋"/>
          <w:color w:val="auto"/>
          <w:sz w:val="32"/>
          <w:szCs w:val="32"/>
          <w:highlight w:val="none"/>
          <w:lang w:eastAsia="zh-CN"/>
        </w:rPr>
        <w:t>g/(以每日计)</w:t>
      </w:r>
      <w:r>
        <w:rPr>
          <w:rFonts w:hint="eastAsia" w:ascii="仿宋_GB2312" w:hAnsi="仿宋" w:eastAsia="仿宋_GB2312"/>
          <w:color w:val="auto"/>
          <w:sz w:val="32"/>
          <w:szCs w:val="32"/>
        </w:rPr>
        <w:t>。</w:t>
      </w:r>
      <w:r>
        <w:rPr>
          <w:rFonts w:hint="eastAsia" w:ascii="仿宋_GB2312" w:hAnsi="仿宋" w:eastAsia="仿宋_GB2312"/>
          <w:color w:val="auto"/>
          <w:sz w:val="32"/>
          <w:szCs w:val="32"/>
          <w:highlight w:val="none"/>
        </w:rPr>
        <w:t>一般维生素B</w:t>
      </w:r>
      <w:r>
        <w:rPr>
          <w:rFonts w:hint="eastAsia" w:ascii="仿宋_GB2312" w:hAnsi="仿宋" w:eastAsia="仿宋_GB2312"/>
          <w:color w:val="auto"/>
          <w:sz w:val="32"/>
          <w:szCs w:val="32"/>
          <w:highlight w:val="none"/>
          <w:vertAlign w:val="subscript"/>
        </w:rPr>
        <w:t>2</w:t>
      </w:r>
      <w:r>
        <w:rPr>
          <w:rFonts w:hint="eastAsia" w:ascii="仿宋_GB2312" w:hAnsi="仿宋" w:eastAsia="仿宋_GB2312"/>
          <w:color w:val="auto"/>
          <w:sz w:val="32"/>
          <w:szCs w:val="32"/>
          <w:highlight w:val="none"/>
        </w:rPr>
        <w:t>不会引起过量中毒，因为人体对维生素B</w:t>
      </w:r>
      <w:r>
        <w:rPr>
          <w:rFonts w:hint="eastAsia" w:ascii="仿宋_GB2312" w:hAnsi="仿宋" w:eastAsia="仿宋_GB2312"/>
          <w:color w:val="auto"/>
          <w:sz w:val="32"/>
          <w:szCs w:val="32"/>
          <w:highlight w:val="none"/>
          <w:vertAlign w:val="subscript"/>
        </w:rPr>
        <w:t>2</w:t>
      </w:r>
      <w:r>
        <w:rPr>
          <w:rFonts w:hint="eastAsia" w:ascii="仿宋_GB2312" w:hAnsi="仿宋" w:eastAsia="仿宋_GB2312"/>
          <w:color w:val="auto"/>
          <w:sz w:val="32"/>
          <w:szCs w:val="32"/>
          <w:highlight w:val="none"/>
        </w:rPr>
        <w:t>的吸收率较低，过量的维生素B</w:t>
      </w:r>
      <w:r>
        <w:rPr>
          <w:rFonts w:hint="eastAsia" w:ascii="仿宋_GB2312" w:hAnsi="仿宋" w:eastAsia="仿宋_GB2312"/>
          <w:color w:val="auto"/>
          <w:sz w:val="32"/>
          <w:szCs w:val="32"/>
          <w:highlight w:val="none"/>
          <w:vertAlign w:val="subscript"/>
        </w:rPr>
        <w:t>2</w:t>
      </w:r>
      <w:r>
        <w:rPr>
          <w:rFonts w:hint="eastAsia" w:ascii="仿宋_GB2312" w:hAnsi="仿宋" w:eastAsia="仿宋_GB2312"/>
          <w:color w:val="auto"/>
          <w:sz w:val="32"/>
          <w:szCs w:val="32"/>
          <w:highlight w:val="none"/>
        </w:rPr>
        <w:t>也会很快随尿液排除。</w:t>
      </w:r>
      <w:r>
        <w:rPr>
          <w:rFonts w:hint="eastAsia" w:ascii="仿宋_GB2312" w:hAnsi="仿宋" w:cs="仿宋_GB2312"/>
          <w:color w:val="auto"/>
          <w:sz w:val="32"/>
          <w:szCs w:val="32"/>
          <w:lang w:eastAsia="zh-CN"/>
        </w:rPr>
        <w:t>营养素</w:t>
      </w:r>
      <w:r>
        <w:rPr>
          <w:rFonts w:hint="eastAsia" w:ascii="仿宋_GB2312" w:hAnsi="仿宋" w:eastAsia="仿宋_GB2312" w:cs="仿宋"/>
          <w:color w:val="auto"/>
          <w:sz w:val="32"/>
          <w:szCs w:val="32"/>
          <w:lang w:val="zh-CN"/>
        </w:rPr>
        <w:t>含量</w:t>
      </w:r>
      <w:r>
        <w:rPr>
          <w:rFonts w:hint="eastAsia" w:ascii="仿宋_GB2312" w:hAnsi="仿宋" w:cs="仿宋"/>
          <w:color w:val="auto"/>
          <w:sz w:val="32"/>
          <w:szCs w:val="32"/>
          <w:lang w:val="zh-CN"/>
        </w:rPr>
        <w:t>超量的</w:t>
      </w:r>
      <w:r>
        <w:rPr>
          <w:rFonts w:hint="eastAsia" w:ascii="仿宋_GB2312" w:hAnsi="仿宋" w:eastAsia="仿宋_GB2312" w:cs="仿宋"/>
          <w:color w:val="auto"/>
          <w:sz w:val="32"/>
          <w:szCs w:val="32"/>
          <w:lang w:val="zh-CN"/>
        </w:rPr>
        <w:t>原因，可能是原辅料用食品营养强化剂不满足质量规格要求；或者生产加工过程中搅拌不均匀等。</w:t>
      </w:r>
    </w:p>
    <w:p>
      <w:pPr>
        <w:ind w:firstLine="643" w:firstLineChars="200"/>
        <w:rPr>
          <w:rFonts w:hint="eastAsia" w:ascii="楷体_GB2312" w:hAnsi="宋体" w:eastAsia="楷体_GB2312" w:cs="宋体"/>
          <w:b/>
          <w:color w:val="auto"/>
          <w:kern w:val="0"/>
          <w:sz w:val="32"/>
          <w:szCs w:val="32"/>
          <w:lang w:eastAsia="zh-CN"/>
        </w:rPr>
      </w:pPr>
      <w:r>
        <w:rPr>
          <w:rFonts w:hint="eastAsia" w:ascii="楷体_GB2312" w:hAnsi="楷体" w:eastAsia="楷体_GB2312" w:cs="Arial"/>
          <w:b/>
          <w:color w:val="auto"/>
          <w:sz w:val="32"/>
          <w:szCs w:val="32"/>
          <w:shd w:val="clear" w:color="auto" w:fill="FFFFFF"/>
        </w:rPr>
        <w:t>（</w:t>
      </w:r>
      <w:r>
        <w:rPr>
          <w:rFonts w:hint="eastAsia" w:ascii="楷体_GB2312" w:hAnsi="楷体" w:eastAsia="楷体_GB2312" w:cs="Arial"/>
          <w:b/>
          <w:color w:val="auto"/>
          <w:sz w:val="32"/>
          <w:szCs w:val="32"/>
          <w:shd w:val="clear" w:color="auto" w:fill="FFFFFF"/>
          <w:lang w:eastAsia="zh-CN"/>
        </w:rPr>
        <w:t>十</w:t>
      </w:r>
      <w:r>
        <w:rPr>
          <w:rFonts w:hint="eastAsia" w:ascii="楷体_GB2312" w:hAnsi="楷体" w:eastAsia="楷体_GB2312" w:cs="Arial"/>
          <w:b/>
          <w:color w:val="auto"/>
          <w:sz w:val="32"/>
          <w:szCs w:val="32"/>
          <w:shd w:val="clear" w:color="auto" w:fill="FFFFFF"/>
        </w:rPr>
        <w:t>）</w:t>
      </w:r>
      <w:r>
        <w:rPr>
          <w:rFonts w:hint="eastAsia" w:ascii="楷体_GB2312" w:hAnsi="宋体" w:eastAsia="楷体_GB2312" w:cs="宋体"/>
          <w:b/>
          <w:color w:val="auto"/>
          <w:kern w:val="0"/>
          <w:sz w:val="32"/>
          <w:szCs w:val="32"/>
          <w:lang w:eastAsia="zh-CN"/>
        </w:rPr>
        <w:t>亚硝酸盐</w:t>
      </w:r>
    </w:p>
    <w:p>
      <w:pPr>
        <w:pStyle w:val="5"/>
        <w:shd w:val="clear" w:color="auto" w:fill="FFFFFF"/>
        <w:spacing w:before="0" w:beforeAutospacing="0" w:after="0" w:afterAutospacing="0" w:line="560" w:lineRule="exact"/>
        <w:ind w:left="0" w:leftChars="0" w:firstLine="640" w:firstLineChars="200"/>
        <w:rPr>
          <w:rFonts w:hint="default" w:ascii="仿宋_GB2312" w:hAnsi="仿宋" w:eastAsia="仿宋_GB2312" w:cs="Times New Roman"/>
          <w:color w:val="auto"/>
          <w:kern w:val="2"/>
          <w:sz w:val="32"/>
          <w:szCs w:val="32"/>
          <w:highlight w:val="none"/>
          <w:lang w:val="en-US" w:eastAsia="zh-CN" w:bidi="ar-SA"/>
        </w:rPr>
      </w:pPr>
      <w:r>
        <w:rPr>
          <w:rFonts w:hint="default" w:ascii="仿宋_GB2312" w:hAnsi="仿宋" w:eastAsia="仿宋_GB2312" w:cs="Times New Roman"/>
          <w:color w:val="auto"/>
          <w:kern w:val="2"/>
          <w:sz w:val="32"/>
          <w:szCs w:val="32"/>
          <w:highlight w:val="none"/>
          <w:lang w:val="en-US" w:eastAsia="zh-CN" w:bidi="ar-SA"/>
        </w:rPr>
        <w:t>亚硝酸盐在环境、食品和水中天然存在，属于食品污染物</w:t>
      </w:r>
      <w:r>
        <w:rPr>
          <w:rFonts w:hint="eastAsia" w:ascii="仿宋_GB2312" w:hAnsi="仿宋" w:eastAsia="仿宋_GB2312" w:cs="Times New Roman"/>
          <w:color w:val="auto"/>
          <w:kern w:val="2"/>
          <w:sz w:val="32"/>
          <w:szCs w:val="32"/>
          <w:highlight w:val="none"/>
          <w:lang w:val="en-US" w:eastAsia="zh-CN" w:bidi="ar-SA"/>
        </w:rPr>
        <w:t>；同时，</w:t>
      </w:r>
      <w:r>
        <w:rPr>
          <w:rFonts w:hint="default" w:ascii="仿宋_GB2312" w:hAnsi="仿宋" w:eastAsia="仿宋_GB2312" w:cs="Times New Roman"/>
          <w:color w:val="auto"/>
          <w:kern w:val="2"/>
          <w:sz w:val="32"/>
          <w:szCs w:val="32"/>
          <w:highlight w:val="none"/>
          <w:lang w:val="en-US" w:eastAsia="zh-CN" w:bidi="ar-SA"/>
        </w:rPr>
        <w:t>亚硝酸盐也是国内外普遍允许使用的食品添加剂，用</w:t>
      </w:r>
      <w:r>
        <w:rPr>
          <w:rFonts w:hint="eastAsia" w:ascii="仿宋_GB2312" w:hAnsi="仿宋" w:eastAsia="仿宋_GB2312" w:cs="Times New Roman"/>
          <w:color w:val="auto"/>
          <w:kern w:val="2"/>
          <w:sz w:val="32"/>
          <w:szCs w:val="32"/>
          <w:highlight w:val="none"/>
          <w:lang w:val="en-US" w:eastAsia="zh-CN" w:bidi="ar-SA"/>
        </w:rPr>
        <w:t>于</w:t>
      </w:r>
      <w:r>
        <w:rPr>
          <w:rFonts w:hint="default" w:ascii="仿宋_GB2312" w:hAnsi="仿宋" w:eastAsia="仿宋_GB2312" w:cs="Times New Roman"/>
          <w:color w:val="auto"/>
          <w:kern w:val="2"/>
          <w:sz w:val="32"/>
          <w:szCs w:val="32"/>
          <w:highlight w:val="none"/>
          <w:lang w:val="en-US" w:eastAsia="zh-CN" w:bidi="ar-SA"/>
        </w:rPr>
        <w:t>西式火腿、肉罐头等</w:t>
      </w:r>
      <w:r>
        <w:rPr>
          <w:rFonts w:hint="eastAsia" w:ascii="仿宋_GB2312" w:hAnsi="仿宋" w:eastAsia="仿宋_GB2312" w:cs="Times New Roman"/>
          <w:color w:val="auto"/>
          <w:kern w:val="2"/>
          <w:sz w:val="32"/>
          <w:szCs w:val="32"/>
          <w:highlight w:val="none"/>
          <w:lang w:val="en-US" w:eastAsia="zh-CN" w:bidi="ar-SA"/>
        </w:rPr>
        <w:t>肉制品</w:t>
      </w:r>
      <w:r>
        <w:rPr>
          <w:rFonts w:hint="default" w:ascii="仿宋_GB2312" w:hAnsi="仿宋" w:eastAsia="仿宋_GB2312" w:cs="Times New Roman"/>
          <w:color w:val="auto"/>
          <w:kern w:val="2"/>
          <w:sz w:val="32"/>
          <w:szCs w:val="32"/>
          <w:highlight w:val="none"/>
          <w:lang w:val="en-US" w:eastAsia="zh-CN" w:bidi="ar-SA"/>
        </w:rPr>
        <w:t>的护色剂、防腐剂</w:t>
      </w:r>
      <w:r>
        <w:rPr>
          <w:rFonts w:hint="eastAsia" w:ascii="仿宋_GB2312" w:hAnsi="仿宋" w:eastAsia="仿宋_GB2312" w:cs="Times New Roman"/>
          <w:color w:val="auto"/>
          <w:kern w:val="2"/>
          <w:sz w:val="32"/>
          <w:szCs w:val="32"/>
          <w:highlight w:val="none"/>
          <w:lang w:val="en-US" w:eastAsia="zh-CN" w:bidi="ar-SA"/>
        </w:rPr>
        <w:t>。</w:t>
      </w:r>
      <w:r>
        <w:rPr>
          <w:rFonts w:hint="eastAsia" w:ascii="仿宋_GB2312" w:hAnsi="宋体" w:eastAsia="仿宋_GB2312" w:cs="宋体"/>
          <w:color w:val="auto"/>
          <w:kern w:val="0"/>
          <w:sz w:val="32"/>
          <w:szCs w:val="32"/>
        </w:rPr>
        <w:t>《食品安全国家标准 食品中污染物限量》（GB 2762—2017）中规定，</w:t>
      </w:r>
      <w:r>
        <w:rPr>
          <w:rFonts w:hint="eastAsia" w:ascii="仿宋_GB2312" w:cs="宋体"/>
          <w:color w:val="auto"/>
          <w:kern w:val="0"/>
          <w:sz w:val="32"/>
          <w:szCs w:val="32"/>
          <w:lang w:eastAsia="zh-CN"/>
        </w:rPr>
        <w:t>包装饮用水（矿泉水除外）亚硝酸盐（以</w:t>
      </w:r>
      <w:r>
        <w:rPr>
          <w:rFonts w:hint="eastAsia" w:ascii="仿宋_GB2312" w:cs="宋体"/>
          <w:color w:val="auto"/>
          <w:kern w:val="0"/>
          <w:sz w:val="32"/>
          <w:szCs w:val="32"/>
          <w:lang w:val="en-US" w:eastAsia="zh-CN"/>
        </w:rPr>
        <w:t>NO</w:t>
      </w:r>
      <w:r>
        <w:rPr>
          <w:rFonts w:hint="eastAsia" w:ascii="仿宋_GB2312" w:cs="宋体"/>
          <w:color w:val="auto"/>
          <w:kern w:val="0"/>
          <w:sz w:val="32"/>
          <w:szCs w:val="32"/>
          <w:vertAlign w:val="subscript"/>
          <w:lang w:val="en-US" w:eastAsia="zh-CN"/>
        </w:rPr>
        <w:t>2</w:t>
      </w:r>
      <w:r>
        <w:rPr>
          <w:rFonts w:hint="eastAsia" w:ascii="仿宋_GB2312" w:cs="宋体"/>
          <w:color w:val="auto"/>
          <w:kern w:val="0"/>
          <w:sz w:val="32"/>
          <w:szCs w:val="32"/>
          <w:vertAlign w:val="superscript"/>
          <w:lang w:val="en-US" w:eastAsia="zh-CN"/>
        </w:rPr>
        <w:t>-</w:t>
      </w:r>
      <w:r>
        <w:rPr>
          <w:rFonts w:hint="eastAsia" w:ascii="仿宋_GB2312" w:cs="宋体"/>
          <w:color w:val="auto"/>
          <w:kern w:val="0"/>
          <w:sz w:val="32"/>
          <w:szCs w:val="32"/>
          <w:lang w:val="en-US" w:eastAsia="zh-CN"/>
        </w:rPr>
        <w:t>计</w:t>
      </w:r>
      <w:r>
        <w:rPr>
          <w:rFonts w:hint="eastAsia" w:ascii="仿宋_GB2312" w:cs="宋体"/>
          <w:color w:val="auto"/>
          <w:kern w:val="0"/>
          <w:sz w:val="32"/>
          <w:szCs w:val="32"/>
          <w:lang w:eastAsia="zh-CN"/>
        </w:rPr>
        <w:t>）应</w:t>
      </w:r>
      <w:r>
        <w:rPr>
          <w:rFonts w:hint="eastAsia" w:ascii="仿宋_GB2312" w:cs="宋体"/>
          <w:kern w:val="0"/>
          <w:sz w:val="32"/>
          <w:szCs w:val="32"/>
          <w:lang w:eastAsia="zh-CN"/>
        </w:rPr>
        <w:t>≤0.005mg/L 。</w:t>
      </w:r>
      <w:r>
        <w:rPr>
          <w:rFonts w:hint="eastAsia" w:ascii="仿宋_GB2312" w:hAnsi="仿宋" w:eastAsia="仿宋_GB2312" w:cs="Times New Roman"/>
          <w:color w:val="auto"/>
          <w:kern w:val="2"/>
          <w:sz w:val="32"/>
          <w:szCs w:val="32"/>
          <w:highlight w:val="none"/>
          <w:lang w:val="en-US" w:eastAsia="zh-CN" w:bidi="ar-SA"/>
        </w:rPr>
        <w:t>亚硝酸盐能使血液中正常携氧的低铁</w:t>
      </w:r>
      <w:r>
        <w:rPr>
          <w:rFonts w:hint="eastAsia" w:ascii="仿宋_GB2312" w:hAnsi="仿宋" w:eastAsia="仿宋_GB2312" w:cs="Times New Roman"/>
          <w:color w:val="auto"/>
          <w:kern w:val="2"/>
          <w:sz w:val="32"/>
          <w:szCs w:val="32"/>
          <w:highlight w:val="none"/>
          <w:lang w:val="en-US" w:eastAsia="zh-CN" w:bidi="ar-SA"/>
        </w:rPr>
        <w:fldChar w:fldCharType="begin"/>
      </w:r>
      <w:r>
        <w:rPr>
          <w:rFonts w:hint="eastAsia" w:ascii="仿宋_GB2312" w:hAnsi="仿宋" w:eastAsia="仿宋_GB2312" w:cs="Times New Roman"/>
          <w:color w:val="auto"/>
          <w:kern w:val="2"/>
          <w:sz w:val="32"/>
          <w:szCs w:val="32"/>
          <w:highlight w:val="none"/>
          <w:lang w:val="en-US" w:eastAsia="zh-CN" w:bidi="ar-SA"/>
        </w:rPr>
        <w:instrText xml:space="preserve"> HYPERLINK "http://baike.baidu.com/view/519.htm" \t "_blank" </w:instrText>
      </w:r>
      <w:r>
        <w:rPr>
          <w:rFonts w:hint="eastAsia" w:ascii="仿宋_GB2312" w:hAnsi="仿宋" w:eastAsia="仿宋_GB2312" w:cs="Times New Roman"/>
          <w:color w:val="auto"/>
          <w:kern w:val="2"/>
          <w:sz w:val="32"/>
          <w:szCs w:val="32"/>
          <w:highlight w:val="none"/>
          <w:lang w:val="en-US" w:eastAsia="zh-CN" w:bidi="ar-SA"/>
        </w:rPr>
        <w:fldChar w:fldCharType="separate"/>
      </w:r>
      <w:r>
        <w:rPr>
          <w:rFonts w:hint="eastAsia" w:ascii="仿宋_GB2312" w:hAnsi="仿宋" w:eastAsia="仿宋_GB2312" w:cs="Times New Roman"/>
          <w:color w:val="auto"/>
          <w:kern w:val="2"/>
          <w:sz w:val="32"/>
          <w:szCs w:val="32"/>
          <w:highlight w:val="none"/>
          <w:lang w:val="en-US" w:eastAsia="zh-CN" w:bidi="ar-SA"/>
        </w:rPr>
        <w:t>血红蛋白</w:t>
      </w:r>
      <w:r>
        <w:rPr>
          <w:rFonts w:hint="eastAsia" w:ascii="仿宋_GB2312" w:hAnsi="仿宋" w:eastAsia="仿宋_GB2312" w:cs="Times New Roman"/>
          <w:color w:val="auto"/>
          <w:kern w:val="2"/>
          <w:sz w:val="32"/>
          <w:szCs w:val="32"/>
          <w:highlight w:val="none"/>
          <w:lang w:val="en-US" w:eastAsia="zh-CN" w:bidi="ar-SA"/>
        </w:rPr>
        <w:fldChar w:fldCharType="end"/>
      </w:r>
      <w:r>
        <w:rPr>
          <w:rFonts w:hint="eastAsia" w:ascii="仿宋_GB2312" w:hAnsi="仿宋" w:eastAsia="仿宋_GB2312" w:cs="Times New Roman"/>
          <w:color w:val="auto"/>
          <w:kern w:val="2"/>
          <w:sz w:val="32"/>
          <w:szCs w:val="32"/>
          <w:highlight w:val="none"/>
          <w:lang w:val="en-US" w:eastAsia="zh-CN" w:bidi="ar-SA"/>
        </w:rPr>
        <w:t>氧化成</w:t>
      </w:r>
      <w:r>
        <w:rPr>
          <w:rFonts w:hint="eastAsia" w:ascii="仿宋_GB2312" w:hAnsi="仿宋" w:eastAsia="仿宋_GB2312" w:cs="Times New Roman"/>
          <w:color w:val="auto"/>
          <w:kern w:val="2"/>
          <w:sz w:val="32"/>
          <w:szCs w:val="32"/>
          <w:highlight w:val="none"/>
          <w:lang w:val="en-US" w:eastAsia="zh-CN" w:bidi="ar-SA"/>
        </w:rPr>
        <w:fldChar w:fldCharType="begin"/>
      </w:r>
      <w:r>
        <w:rPr>
          <w:rFonts w:hint="eastAsia" w:ascii="仿宋_GB2312" w:hAnsi="仿宋" w:eastAsia="仿宋_GB2312" w:cs="Times New Roman"/>
          <w:color w:val="auto"/>
          <w:kern w:val="2"/>
          <w:sz w:val="32"/>
          <w:szCs w:val="32"/>
          <w:highlight w:val="none"/>
          <w:lang w:val="en-US" w:eastAsia="zh-CN" w:bidi="ar-SA"/>
        </w:rPr>
        <w:instrText xml:space="preserve"> HYPERLINK "http://baike.baidu.com/view/71208.htm" \t "_blank" </w:instrText>
      </w:r>
      <w:r>
        <w:rPr>
          <w:rFonts w:hint="eastAsia" w:ascii="仿宋_GB2312" w:hAnsi="仿宋" w:eastAsia="仿宋_GB2312" w:cs="Times New Roman"/>
          <w:color w:val="auto"/>
          <w:kern w:val="2"/>
          <w:sz w:val="32"/>
          <w:szCs w:val="32"/>
          <w:highlight w:val="none"/>
          <w:lang w:val="en-US" w:eastAsia="zh-CN" w:bidi="ar-SA"/>
        </w:rPr>
        <w:fldChar w:fldCharType="separate"/>
      </w:r>
      <w:r>
        <w:rPr>
          <w:rFonts w:hint="eastAsia" w:ascii="仿宋_GB2312" w:hAnsi="仿宋" w:eastAsia="仿宋_GB2312" w:cs="Times New Roman"/>
          <w:color w:val="auto"/>
          <w:kern w:val="2"/>
          <w:sz w:val="32"/>
          <w:szCs w:val="32"/>
          <w:highlight w:val="none"/>
          <w:lang w:val="en-US" w:eastAsia="zh-CN" w:bidi="ar-SA"/>
        </w:rPr>
        <w:t>高铁血红蛋白</w:t>
      </w:r>
      <w:r>
        <w:rPr>
          <w:rFonts w:hint="eastAsia" w:ascii="仿宋_GB2312" w:hAnsi="仿宋" w:eastAsia="仿宋_GB2312" w:cs="Times New Roman"/>
          <w:color w:val="auto"/>
          <w:kern w:val="2"/>
          <w:sz w:val="32"/>
          <w:szCs w:val="32"/>
          <w:highlight w:val="none"/>
          <w:lang w:val="en-US" w:eastAsia="zh-CN" w:bidi="ar-SA"/>
        </w:rPr>
        <w:fldChar w:fldCharType="end"/>
      </w:r>
      <w:bookmarkStart w:id="1" w:name="_GoBack"/>
      <w:bookmarkEnd w:id="1"/>
      <w:r>
        <w:rPr>
          <w:rFonts w:hint="eastAsia" w:ascii="仿宋_GB2312" w:hAnsi="仿宋" w:eastAsia="仿宋_GB2312" w:cs="Times New Roman"/>
          <w:color w:val="auto"/>
          <w:kern w:val="2"/>
          <w:sz w:val="32"/>
          <w:szCs w:val="32"/>
          <w:highlight w:val="none"/>
          <w:lang w:val="en-US" w:eastAsia="zh-CN" w:bidi="ar-SA"/>
        </w:rPr>
        <w:t>，因而失去携氧能力而引起组织缺氧。亚硝酸盐在一定的条件下可以转化为N-亚硝胺类化合物，动物实验和流行病学研究均显示这类化合物具有较强的致癌性。</w:t>
      </w:r>
    </w:p>
    <w:p>
      <w:pPr>
        <w:pStyle w:val="5"/>
        <w:shd w:val="clear" w:color="auto" w:fill="FFFFFF"/>
        <w:spacing w:before="0" w:beforeAutospacing="0" w:after="0" w:afterAutospacing="0" w:line="560" w:lineRule="exact"/>
        <w:ind w:firstLine="640" w:firstLineChars="200"/>
        <w:jc w:val="both"/>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5"/>
        <w:shd w:val="clear" w:color="auto" w:fill="FFFFFF"/>
        <w:spacing w:before="0" w:beforeAutospacing="0" w:after="0" w:afterAutospacing="0" w:line="560" w:lineRule="exact"/>
        <w:ind w:firstLine="707" w:firstLineChars="220"/>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5"/>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spacing w:line="560" w:lineRule="exact"/>
        <w:ind w:firstLine="643" w:firstLineChars="200"/>
        <w:rPr>
          <w:rFonts w:ascii="楷体_GB2312" w:eastAsia="楷体_GB2312"/>
          <w:bCs/>
          <w:color w:val="auto"/>
        </w:rPr>
      </w:pPr>
      <w:r>
        <w:rPr>
          <w:rFonts w:hint="eastAsia" w:ascii="楷体_GB2312" w:hAnsi="楷体" w:eastAsia="楷体_GB2312"/>
          <w:b/>
          <w:color w:val="auto"/>
          <w:sz w:val="32"/>
          <w:szCs w:val="32"/>
        </w:rPr>
        <w:t>（二）加强生产过程的质量控制</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食品生产过程是直接影响食品质量安全的关键。生产企业应</w:t>
      </w:r>
      <w:r>
        <w:rPr>
          <w:rFonts w:hint="eastAsia" w:ascii="仿宋_GB2312" w:eastAsia="仿宋_GB2312"/>
          <w:snapToGrid w:val="0"/>
          <w:color w:val="auto"/>
          <w:kern w:val="0"/>
          <w:sz w:val="32"/>
          <w:szCs w:val="32"/>
        </w:rPr>
        <w:t>建立HACCP食品安全管理体系，设定关键控制点和相应的温度和时间的关键限值，严格执行食品加工过程标准工作程序，达到有效控制食品安全风险；</w:t>
      </w:r>
      <w:r>
        <w:rPr>
          <w:rFonts w:hint="eastAsia" w:ascii="仿宋_GB2312" w:eastAsia="仿宋_GB2312"/>
          <w:color w:val="auto"/>
          <w:sz w:val="32"/>
          <w:szCs w:val="32"/>
        </w:rPr>
        <w:t>提高操作人员的食品安全意识，督促员工建立良好的个人卫生习惯，遵守卫生标准操作程序，避免加工过程中的人为污染；定期对厂区内</w:t>
      </w:r>
      <w:bookmarkStart w:id="0" w:name="OLE_LINK2"/>
      <w:r>
        <w:rPr>
          <w:rFonts w:hint="eastAsia" w:ascii="仿宋_GB2312" w:eastAsia="仿宋_GB2312"/>
          <w:color w:val="auto"/>
          <w:sz w:val="32"/>
          <w:szCs w:val="32"/>
        </w:rPr>
        <w:t>环境和设施进行消毒、清洁</w:t>
      </w:r>
      <w:bookmarkEnd w:id="0"/>
      <w:r>
        <w:rPr>
          <w:rFonts w:hint="eastAsia" w:ascii="仿宋_GB2312" w:eastAsia="仿宋_GB2312"/>
          <w:color w:val="auto"/>
          <w:sz w:val="32"/>
          <w:szCs w:val="32"/>
        </w:rPr>
        <w:t>，并对环境进行微生物监测，以减少或避免生产过程中受到微生物的污染。</w:t>
      </w:r>
    </w:p>
    <w:p>
      <w:pPr>
        <w:pStyle w:val="5"/>
        <w:shd w:val="clear" w:color="auto" w:fill="FFFFFF"/>
        <w:spacing w:before="0" w:beforeAutospacing="0" w:after="0" w:afterAutospacing="0" w:line="560" w:lineRule="exact"/>
        <w:ind w:firstLine="643" w:firstLineChars="200"/>
        <w:rPr>
          <w:rFonts w:ascii="楷体_GB2312" w:hAnsi="楷体" w:eastAsia="楷体_GB2312"/>
          <w:b/>
          <w:color w:val="auto"/>
          <w:sz w:val="32"/>
          <w:szCs w:val="32"/>
        </w:rPr>
      </w:pPr>
      <w:r>
        <w:rPr>
          <w:rFonts w:hint="eastAsia" w:ascii="楷体_GB2312" w:hAnsi="楷体" w:eastAsia="楷体_GB2312"/>
          <w:b/>
          <w:color w:val="auto"/>
          <w:sz w:val="32"/>
          <w:szCs w:val="32"/>
        </w:rPr>
        <w:t>（三）加强食品出厂检验</w:t>
      </w:r>
    </w:p>
    <w:p>
      <w:pPr>
        <w:pStyle w:val="5"/>
        <w:shd w:val="clear" w:color="auto" w:fill="FFFFFF"/>
        <w:spacing w:before="0" w:beforeAutospacing="0" w:after="0" w:afterAutospacing="0" w:line="560" w:lineRule="exact"/>
        <w:ind w:firstLine="640" w:firstLineChars="200"/>
        <w:jc w:val="both"/>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5"/>
        <w:shd w:val="clear" w:color="auto" w:fill="FFFFFF"/>
        <w:spacing w:before="0" w:beforeAutospacing="0" w:after="0" w:afterAutospacing="0" w:line="560" w:lineRule="exact"/>
        <w:ind w:firstLine="643" w:firstLineChars="200"/>
        <w:jc w:val="both"/>
        <w:rPr>
          <w:rStyle w:val="8"/>
          <w:rFonts w:ascii="楷体_GB2312" w:hAnsi="楷体" w:eastAsia="楷体_GB2312"/>
          <w:color w:val="auto"/>
          <w:sz w:val="32"/>
          <w:szCs w:val="32"/>
        </w:rPr>
      </w:pPr>
      <w:r>
        <w:rPr>
          <w:rStyle w:val="8"/>
          <w:rFonts w:hint="eastAsia" w:ascii="楷体_GB2312" w:hAnsi="楷体" w:eastAsia="楷体_GB2312"/>
          <w:color w:val="auto"/>
          <w:sz w:val="32"/>
          <w:szCs w:val="32"/>
        </w:rPr>
        <w:t>（四）保证食品运输、贮存环境</w:t>
      </w:r>
    </w:p>
    <w:p>
      <w:pPr>
        <w:pStyle w:val="5"/>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食品生产经营者应保证运输和装卸食品的容器、工具和设备清洁、无害，保证食品的生产经营环境和储存环境等符合食品所需的环境，并及时清理变质、超过保质期及其他不符合标准要求的食品；针对特殊贮存要求的食品，食品生产经营者在运输、贮藏时应当符合食品安全所需要的温度、空间隔离等特殊要求，防止交叉污染。</w:t>
      </w:r>
    </w:p>
    <w:p>
      <w:pPr>
        <w:pStyle w:val="5"/>
        <w:shd w:val="clear" w:color="auto" w:fill="FFFFFF"/>
        <w:spacing w:before="0" w:beforeAutospacing="0" w:after="0" w:afterAutospacing="0" w:line="560" w:lineRule="exact"/>
        <w:ind w:firstLine="643" w:firstLineChars="200"/>
        <w:jc w:val="both"/>
        <w:rPr>
          <w:rStyle w:val="8"/>
          <w:rFonts w:ascii="楷体_GB2312" w:hAnsi="楷体" w:eastAsia="楷体_GB2312"/>
          <w:color w:val="auto"/>
          <w:sz w:val="32"/>
          <w:szCs w:val="32"/>
        </w:rPr>
      </w:pPr>
      <w:r>
        <w:rPr>
          <w:rStyle w:val="8"/>
          <w:rFonts w:hint="eastAsia" w:ascii="楷体_GB2312" w:hAnsi="楷体" w:eastAsia="楷体_GB2312"/>
          <w:color w:val="auto"/>
          <w:sz w:val="32"/>
          <w:szCs w:val="32"/>
        </w:rPr>
        <w:t>（五）加强食品从业人员培训</w:t>
      </w:r>
    </w:p>
    <w:p>
      <w:pPr>
        <w:pStyle w:val="5"/>
        <w:shd w:val="clear" w:color="auto" w:fill="FFFFFF"/>
        <w:spacing w:before="0" w:beforeAutospacing="0" w:after="0" w:afterAutospacing="0" w:line="560" w:lineRule="exact"/>
        <w:ind w:firstLine="720"/>
        <w:jc w:val="both"/>
        <w:rPr>
          <w:rFonts w:ascii="仿宋_GB2312" w:hAnsi="仿宋" w:eastAsia="仿宋_GB2312"/>
          <w:sz w:val="32"/>
          <w:szCs w:val="32"/>
        </w:rPr>
      </w:pPr>
      <w:r>
        <w:rPr>
          <w:rFonts w:hint="eastAsia" w:ascii="仿宋_GB2312" w:hAnsi="仿宋" w:eastAsia="仿宋_GB2312"/>
          <w:color w:val="auto"/>
          <w:sz w:val="32"/>
          <w:szCs w:val="32"/>
        </w:rPr>
        <w:t>食品生产经营者应建立食品相关岗位的培训制度，加强日常监管及培训，对食品销售人员以及原辅料采购岗位的从业人员进行相应的食品安全知识培训</w:t>
      </w:r>
      <w:r>
        <w:rPr>
          <w:rFonts w:hint="eastAsia" w:ascii="仿宋_GB2312" w:hAnsi="仿宋" w:eastAsia="仿宋_GB2312" w:cs="仿宋"/>
          <w:color w:val="auto"/>
          <w:sz w:val="32"/>
          <w:szCs w:val="32"/>
        </w:rPr>
        <w:t>，</w:t>
      </w:r>
      <w:r>
        <w:rPr>
          <w:rFonts w:hint="eastAsia" w:ascii="仿宋_GB2312" w:hAnsi="仿宋" w:eastAsia="仿宋_GB2312" w:cs="仿宋"/>
          <w:snapToGrid w:val="0"/>
          <w:color w:val="auto"/>
          <w:sz w:val="32"/>
        </w:rPr>
        <w:t>提高从业人员的食品安全意识和维护食品安全能力</w:t>
      </w:r>
      <w:r>
        <w:rPr>
          <w:rFonts w:hint="eastAsia" w:ascii="仿宋_GB2312" w:hAnsi="仿宋" w:eastAsia="仿宋_GB2312"/>
          <w:color w:val="auto"/>
          <w:sz w:val="32"/>
          <w:szCs w:val="32"/>
        </w:rPr>
        <w:t>。食品从业人员应持有健康体检证明，需进行岗前培训和在岗培训，达到相应的岗位技术素质要求方可上岗。餐厨及服务人员应保持个人卫生，</w:t>
      </w:r>
      <w:r>
        <w:rPr>
          <w:rFonts w:hint="eastAsia" w:ascii="仿宋_GB2312" w:hAnsi="仿宋" w:eastAsia="仿宋_GB2312"/>
          <w:color w:val="auto"/>
          <w:sz w:val="32"/>
          <w:szCs w:val="32"/>
          <w:shd w:val="clear" w:color="auto" w:fill="FFFFFF"/>
        </w:rPr>
        <w:t>加工食品时应当将手洗净，穿戴清洁的工作衣帽。</w:t>
      </w:r>
    </w:p>
    <w:p>
      <w:pPr>
        <w:pStyle w:val="2"/>
        <w:rPr>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48C52"/>
    <w:multiLevelType w:val="singleLevel"/>
    <w:tmpl w:val="4BB48C5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57D4C"/>
    <w:rsid w:val="006D08D0"/>
    <w:rsid w:val="007C2802"/>
    <w:rsid w:val="0126603E"/>
    <w:rsid w:val="038A4A30"/>
    <w:rsid w:val="03F5028E"/>
    <w:rsid w:val="05FA02D1"/>
    <w:rsid w:val="06417F99"/>
    <w:rsid w:val="08A40F60"/>
    <w:rsid w:val="0995308D"/>
    <w:rsid w:val="0C0C26ED"/>
    <w:rsid w:val="0C1638F7"/>
    <w:rsid w:val="0DAA1605"/>
    <w:rsid w:val="0EBB2607"/>
    <w:rsid w:val="0F585F8A"/>
    <w:rsid w:val="10821C61"/>
    <w:rsid w:val="14BB2594"/>
    <w:rsid w:val="167A6756"/>
    <w:rsid w:val="17C241C8"/>
    <w:rsid w:val="19016B79"/>
    <w:rsid w:val="192B4E69"/>
    <w:rsid w:val="192F6BA6"/>
    <w:rsid w:val="1AEE110D"/>
    <w:rsid w:val="1B4E2422"/>
    <w:rsid w:val="1F4E48D8"/>
    <w:rsid w:val="21696DF5"/>
    <w:rsid w:val="23245625"/>
    <w:rsid w:val="285A69D5"/>
    <w:rsid w:val="2A742CB4"/>
    <w:rsid w:val="2C132547"/>
    <w:rsid w:val="2CD93125"/>
    <w:rsid w:val="2CDF0489"/>
    <w:rsid w:val="2DDE794C"/>
    <w:rsid w:val="2F324ED1"/>
    <w:rsid w:val="3145128F"/>
    <w:rsid w:val="317558F5"/>
    <w:rsid w:val="34297534"/>
    <w:rsid w:val="34A04BE9"/>
    <w:rsid w:val="34DC6E90"/>
    <w:rsid w:val="357551BE"/>
    <w:rsid w:val="35803564"/>
    <w:rsid w:val="35830D83"/>
    <w:rsid w:val="35D710F6"/>
    <w:rsid w:val="36400D2C"/>
    <w:rsid w:val="36884D8D"/>
    <w:rsid w:val="3AC15303"/>
    <w:rsid w:val="3C0D09B2"/>
    <w:rsid w:val="3CD868A6"/>
    <w:rsid w:val="404434D1"/>
    <w:rsid w:val="40C218A5"/>
    <w:rsid w:val="41732919"/>
    <w:rsid w:val="41F546DD"/>
    <w:rsid w:val="43684698"/>
    <w:rsid w:val="43B35148"/>
    <w:rsid w:val="44EC48D5"/>
    <w:rsid w:val="45393952"/>
    <w:rsid w:val="45510F6C"/>
    <w:rsid w:val="4883734F"/>
    <w:rsid w:val="49360CB0"/>
    <w:rsid w:val="4AC84CF2"/>
    <w:rsid w:val="4D57429F"/>
    <w:rsid w:val="4D957D4C"/>
    <w:rsid w:val="4E426780"/>
    <w:rsid w:val="51536C92"/>
    <w:rsid w:val="522E010C"/>
    <w:rsid w:val="54FE208A"/>
    <w:rsid w:val="56373C1E"/>
    <w:rsid w:val="57182E6D"/>
    <w:rsid w:val="594B0C13"/>
    <w:rsid w:val="5CCC483D"/>
    <w:rsid w:val="5DAC694C"/>
    <w:rsid w:val="5FC32C70"/>
    <w:rsid w:val="60CD390A"/>
    <w:rsid w:val="62CD52C3"/>
    <w:rsid w:val="67B604A8"/>
    <w:rsid w:val="6A1E593D"/>
    <w:rsid w:val="6A8D728C"/>
    <w:rsid w:val="6B004196"/>
    <w:rsid w:val="6B2B6637"/>
    <w:rsid w:val="6D34019A"/>
    <w:rsid w:val="6F140810"/>
    <w:rsid w:val="72015139"/>
    <w:rsid w:val="72121F97"/>
    <w:rsid w:val="72DA625E"/>
    <w:rsid w:val="7525532E"/>
    <w:rsid w:val="756434E8"/>
    <w:rsid w:val="75E23C4E"/>
    <w:rsid w:val="77661A93"/>
    <w:rsid w:val="7929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b/>
      <w:bCs/>
    </w:rPr>
  </w:style>
  <w:style w:type="character" w:styleId="9">
    <w:name w:val="Hyperlink"/>
    <w:basedOn w:val="7"/>
    <w:unhideWhenUsed/>
    <w:qFormat/>
    <w:uiPriority w:val="99"/>
    <w:rPr>
      <w:color w:val="0000FF"/>
      <w:u w:val="single"/>
    </w:rPr>
  </w:style>
  <w:style w:type="paragraph" w:customStyle="1" w:styleId="10">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华测检测认证集团股份有限公司</Company>
  <Pages>8</Pages>
  <Words>558</Words>
  <Characters>3184</Characters>
  <Lines>26</Lines>
  <Paragraphs>7</Paragraphs>
  <TotalTime>0</TotalTime>
  <ScaleCrop>false</ScaleCrop>
  <LinksUpToDate>false</LinksUpToDate>
  <CharactersWithSpaces>3735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2020-11-04T13:13:00Z</dcterms:created>
  <dc:creator>zhenyongwen</dc:creator>
  <cp:lastModifiedBy>韦慧勤</cp:lastModifiedBy>
  <dcterms:modified xsi:type="dcterms:W3CDTF">2020-12-21T02:50:40Z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