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（一）恩诺沙星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w:t>
      </w:r>
      <w:r>
        <w:rPr>
          <w:rFonts w:hint="eastAsia" w:ascii="仿宋_GB2312"/>
          <w:sz w:val="32"/>
          <w:szCs w:val="32"/>
          <w:lang w:val="en-US" w:eastAsia="zh-CN"/>
        </w:rPr>
        <w:t xml:space="preserve"> </w:t>
      </w:r>
      <w:r>
        <w:rPr>
          <w:rFonts w:hint="eastAsia" w:ascii="仿宋_GB2312" w:eastAsia="仿宋_GB2312"/>
          <w:color w:val="auto"/>
          <w:sz w:val="32"/>
          <w:szCs w:val="32"/>
        </w:rPr>
        <w:t>食</w:t>
      </w:r>
      <w:r>
        <w:rPr>
          <w:rFonts w:hint="eastAsia" w:ascii="仿宋_GB2312" w:eastAsia="仿宋_GB2312"/>
          <w:sz w:val="32"/>
          <w:szCs w:val="32"/>
        </w:rPr>
        <w:t>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（二）水分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食品安全国家标准 </w:t>
      </w:r>
      <w:r>
        <w:rPr>
          <w:rFonts w:hint="eastAsia" w:ascii="仿宋_GB2312" w:hAnsi="宋体" w:cs="宋体"/>
          <w:kern w:val="0"/>
          <w:sz w:val="32"/>
          <w:szCs w:val="32"/>
          <w:lang w:eastAsia="zh-CN"/>
        </w:rPr>
        <w:t>方便面</w:t>
      </w:r>
      <w:r>
        <w:rPr>
          <w:rFonts w:hint="eastAsia" w:ascii="仿宋_GB2312" w:hAnsi="宋体" w:eastAsia="仿宋_GB2312" w:cs="宋体"/>
          <w:kern w:val="0"/>
          <w:sz w:val="32"/>
          <w:szCs w:val="32"/>
        </w:rPr>
        <w:t xml:space="preserve">》（GB </w:t>
      </w:r>
      <w:r>
        <w:rPr>
          <w:rFonts w:hint="eastAsia" w:ascii="仿宋_GB2312" w:hAnsi="宋体" w:cs="宋体"/>
          <w:kern w:val="0"/>
          <w:sz w:val="32"/>
          <w:szCs w:val="32"/>
          <w:lang w:val="en-US" w:eastAsia="zh-CN"/>
        </w:rPr>
        <w:t>17400</w:t>
      </w:r>
      <w:r>
        <w:rPr>
          <w:rFonts w:hint="eastAsia" w:ascii="仿宋_GB2312" w:hAnsi="宋体" w:eastAsia="仿宋_GB2312" w:cs="宋体"/>
          <w:kern w:val="0"/>
          <w:sz w:val="32"/>
          <w:szCs w:val="32"/>
        </w:rPr>
        <w:t>-201</w:t>
      </w:r>
      <w:r>
        <w:rPr>
          <w:rFonts w:hint="eastAsia" w:ascii="仿宋_GB2312" w:hAnsi="宋体" w:cs="宋体"/>
          <w:kern w:val="0"/>
          <w:sz w:val="32"/>
          <w:szCs w:val="32"/>
          <w:lang w:val="en-US" w:eastAsia="zh-CN"/>
        </w:rPr>
        <w:t>5</w:t>
      </w:r>
      <w:r>
        <w:rPr>
          <w:rFonts w:hint="eastAsia" w:ascii="仿宋_GB2312" w:hAnsi="宋体" w:eastAsia="仿宋_GB2312" w:cs="宋体"/>
          <w:kern w:val="0"/>
          <w:sz w:val="32"/>
          <w:szCs w:val="32"/>
        </w:rPr>
        <w:t>）中规定，</w:t>
      </w:r>
      <w:r>
        <w:rPr>
          <w:rFonts w:hint="eastAsia" w:ascii="仿宋_GB2312" w:hAnsi="宋体" w:cs="宋体"/>
          <w:kern w:val="0"/>
          <w:sz w:val="32"/>
          <w:szCs w:val="32"/>
          <w:lang w:eastAsia="zh-CN"/>
        </w:rPr>
        <w:t>非油炸面饼</w:t>
      </w:r>
      <w:r>
        <w:rPr>
          <w:rFonts w:hint="eastAsia" w:ascii="仿宋_GB2312" w:hAnsi="宋体" w:eastAsia="仿宋_GB2312" w:cs="宋体"/>
          <w:kern w:val="0"/>
          <w:sz w:val="32"/>
          <w:szCs w:val="32"/>
        </w:rPr>
        <w:t>水分应</w:t>
      </w:r>
      <w:r>
        <w:rPr>
          <w:rFonts w:hint="eastAsia" w:ascii="仿宋_GB2312" w:hAnsi="仿宋" w:eastAsia="仿宋_GB2312"/>
          <w:sz w:val="32"/>
          <w:szCs w:val="32"/>
        </w:rPr>
        <w:t>≤1</w:t>
      </w:r>
      <w:r>
        <w:rPr>
          <w:rFonts w:hint="eastAsia" w:ascii="仿宋_GB2312" w:hAnsi="仿宋"/>
          <w:sz w:val="32"/>
          <w:szCs w:val="32"/>
          <w:lang w:val="en-US" w:eastAsia="zh-CN"/>
        </w:rPr>
        <w:t>4.0</w:t>
      </w:r>
      <w:r>
        <w:rPr>
          <w:rFonts w:hint="eastAsia" w:ascii="仿宋_GB2312" w:hAnsi="仿宋" w:eastAsia="仿宋_GB2312"/>
          <w:sz w:val="32"/>
          <w:szCs w:val="32"/>
        </w:rPr>
        <w:t>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pStyle w:val="2"/>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阿维菌素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阿维菌素是一种抗生素类杀虫、杀螨、杀线虫剂，具有广谱、高效、低残留等特点。《食品安全国家标准</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val="zh-CN"/>
        </w:rPr>
        <w:t>食品中农药最大残留限量》（GB 2763-2019）中规定，阿维菌素在</w:t>
      </w:r>
      <w:r>
        <w:rPr>
          <w:rFonts w:hint="eastAsia" w:ascii="仿宋_GB2312" w:hAnsi="仿宋" w:eastAsia="仿宋_GB2312"/>
          <w:sz w:val="32"/>
          <w:szCs w:val="32"/>
          <w:lang w:val="zh-CN"/>
        </w:rPr>
        <w:t>油麦菜</w:t>
      </w:r>
      <w:r>
        <w:rPr>
          <w:rFonts w:hint="eastAsia" w:ascii="仿宋_GB2312" w:hAnsi="仿宋" w:eastAsia="仿宋_GB2312" w:cs="宋体"/>
          <w:kern w:val="0"/>
          <w:sz w:val="32"/>
          <w:szCs w:val="32"/>
          <w:lang w:val="zh-CN"/>
        </w:rPr>
        <w:t>中的最大残留限量为0.05mg/kg。少量的农药残留不会引起人体急性中毒，但长期食用农药残留超标的食品，对人体健康有一定影响。</w:t>
      </w:r>
    </w:p>
    <w:p>
      <w:pPr>
        <w:pStyle w:val="2"/>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氟苯尼考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3" w:firstLineChars="200"/>
        <w:jc w:val="left"/>
        <w:textAlignment w:val="auto"/>
        <w:rPr>
          <w:rFonts w:ascii="楷体_GB2312" w:hAnsi="宋体" w:eastAsia="楷体_GB2312" w:cs="宋体"/>
          <w:b/>
          <w:kern w:val="0"/>
          <w:sz w:val="32"/>
          <w:szCs w:val="32"/>
        </w:rPr>
      </w:pP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2015）中规定，饼干中的过氧化值（以脂肪计）的最大限量值为0.25g/100g。</w:t>
      </w:r>
      <w:r>
        <w:rPr>
          <w:rFonts w:hint="eastAsia" w:ascii="仿宋_GB2312" w:hAnsi="仿宋" w:eastAsia="仿宋_GB2312" w:cs="仿宋"/>
          <w:sz w:val="32"/>
          <w:szCs w:val="32"/>
        </w:rPr>
        <w:t>《食品安全国家标准 腌腊肉制品》（GB 2730-2015）中规定，香（腊）肠的过氧化值(以脂肪计)应≤0.5g/100g。</w:t>
      </w:r>
      <w:r>
        <w:rPr>
          <w:rFonts w:ascii="仿宋_GB2312" w:hAnsi="仿宋" w:eastAsia="仿宋_GB2312" w:cs="宋体"/>
          <w:kern w:val="0"/>
          <w:sz w:val="32"/>
          <w:szCs w:val="32"/>
          <w:lang w:val="zh-CN"/>
        </w:rPr>
        <w:t>过氧化值超标的原因，可能</w:t>
      </w:r>
      <w:bookmarkStart w:id="0" w:name="_GoBack"/>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bookmarkEnd w:id="0"/>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六</w:t>
      </w:r>
      <w:r>
        <w:rPr>
          <w:rFonts w:hint="eastAsia" w:ascii="楷体_GB2312" w:hAnsi="宋体" w:eastAsia="楷体_GB2312" w:cs="宋体"/>
          <w:b/>
          <w:kern w:val="0"/>
          <w:sz w:val="32"/>
          <w:szCs w:val="32"/>
        </w:rPr>
        <w:t>）酒精度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酒精度又叫酒度，是酒类的一个重要理化指标，是指在20℃时，100毫升酒中含有乙醇（酒精）的毫升数，即体积（容量）的百分数。《</w:t>
      </w:r>
      <w:r>
        <w:rPr>
          <w:rFonts w:hint="eastAsia" w:ascii="仿宋_GB2312" w:hAnsi="宋体" w:cs="宋体"/>
          <w:kern w:val="0"/>
          <w:sz w:val="32"/>
          <w:szCs w:val="32"/>
          <w:lang w:eastAsia="zh-CN"/>
        </w:rPr>
        <w:t>露酒</w:t>
      </w:r>
      <w:r>
        <w:rPr>
          <w:rFonts w:hint="eastAsia" w:ascii="仿宋_GB2312" w:hAnsi="宋体" w:eastAsia="仿宋_GB2312" w:cs="宋体"/>
          <w:kern w:val="0"/>
          <w:sz w:val="32"/>
          <w:szCs w:val="32"/>
        </w:rPr>
        <w:t xml:space="preserve">》（GB/T </w:t>
      </w:r>
      <w:r>
        <w:rPr>
          <w:rFonts w:hint="eastAsia" w:ascii="仿宋_GB2312" w:hAnsi="宋体" w:cs="宋体"/>
          <w:kern w:val="0"/>
          <w:sz w:val="32"/>
          <w:szCs w:val="32"/>
          <w:lang w:val="en-US" w:eastAsia="zh-CN"/>
        </w:rPr>
        <w:t>27588</w:t>
      </w:r>
      <w:r>
        <w:rPr>
          <w:rFonts w:hint="eastAsia" w:ascii="仿宋_GB2312" w:hAnsi="宋体" w:eastAsia="仿宋_GB2312" w:cs="宋体"/>
          <w:kern w:val="0"/>
          <w:sz w:val="32"/>
          <w:szCs w:val="32"/>
        </w:rPr>
        <w:t>-201</w:t>
      </w:r>
      <w:r>
        <w:rPr>
          <w:rFonts w:hint="eastAsia" w:ascii="仿宋_GB2312" w:hAnsi="宋体" w:cs="宋体"/>
          <w:kern w:val="0"/>
          <w:sz w:val="32"/>
          <w:szCs w:val="32"/>
          <w:lang w:val="en-US" w:eastAsia="zh-CN"/>
        </w:rPr>
        <w:t>1</w:t>
      </w:r>
      <w:r>
        <w:rPr>
          <w:rFonts w:hint="eastAsia" w:ascii="仿宋_GB2312" w:hAnsi="宋体" w:eastAsia="仿宋_GB2312" w:cs="宋体"/>
          <w:kern w:val="0"/>
          <w:sz w:val="32"/>
          <w:szCs w:val="32"/>
        </w:rPr>
        <w:t>）中规定，</w:t>
      </w:r>
      <w:r>
        <w:rPr>
          <w:rFonts w:hint="eastAsia" w:ascii="仿宋_GB2312" w:hAnsi="宋体" w:cs="宋体"/>
          <w:kern w:val="0"/>
          <w:sz w:val="32"/>
          <w:szCs w:val="32"/>
          <w:lang w:eastAsia="zh-CN"/>
        </w:rPr>
        <w:t>露酒</w:t>
      </w:r>
      <w:r>
        <w:rPr>
          <w:rFonts w:hint="eastAsia" w:ascii="仿宋_GB2312" w:hAnsi="宋体" w:eastAsia="仿宋_GB2312" w:cs="宋体"/>
          <w:kern w:val="0"/>
          <w:sz w:val="32"/>
          <w:szCs w:val="32"/>
        </w:rPr>
        <w:t>的实际酒精度应在标示值±1.0%vol的偏差范围内。酒中酒精度不达标会影响酒类的品质及口感，此外由于产品实际酒精度与明示指标不符也可能对消费者构成欺骗行为。</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（七）</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铝有一定的慢性毒性，摄入铝超标的食品，在体内可造成铝的蓄积，轻者会使食欲减退，引起贫血，重者会表现为神经毒性，使人运动失调、记忆力衰退等。</w:t>
      </w:r>
      <w:r>
        <w:rPr>
          <w:rFonts w:hint="eastAsia" w:ascii="仿宋_GB2312" w:hAnsi="仿宋" w:eastAsia="仿宋_GB2312"/>
          <w:sz w:val="32"/>
          <w:szCs w:val="32"/>
        </w:rPr>
        <w:t>本次不合格样品标签明示</w:t>
      </w:r>
      <w:r>
        <w:rPr>
          <w:rFonts w:hint="eastAsia" w:ascii="仿宋_GB2312" w:hAnsi="仿宋"/>
          <w:color w:val="auto"/>
          <w:sz w:val="32"/>
          <w:szCs w:val="32"/>
          <w:lang w:eastAsia="zh-CN"/>
        </w:rPr>
        <w:t>“加工时不含人工色素和人工添加剂”，但检出一定量的铝残留，易对消费者造成误导。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八</w:t>
      </w:r>
      <w:r>
        <w:rPr>
          <w:rFonts w:hint="eastAsia" w:ascii="楷体_GB2312" w:hAnsi="楷体" w:eastAsia="楷体_GB2312" w:cs="Arial"/>
          <w:b/>
          <w:sz w:val="32"/>
          <w:szCs w:val="32"/>
          <w:shd w:val="clear" w:color="auto" w:fill="FFFFFF"/>
        </w:rPr>
        <w:t>）氯霉素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sz w:val="32"/>
          <w:szCs w:val="32"/>
          <w:shd w:val="clear" w:color="auto" w:fill="FFFFFF"/>
        </w:rPr>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》中规定，该类药物为禁用兽药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九</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zh-CN"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38CE"/>
    <w:multiLevelType w:val="singleLevel"/>
    <w:tmpl w:val="17EF38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C82C95"/>
    <w:rsid w:val="091C5D20"/>
    <w:rsid w:val="0CD4225F"/>
    <w:rsid w:val="0EA93008"/>
    <w:rsid w:val="1162065F"/>
    <w:rsid w:val="11B32DA0"/>
    <w:rsid w:val="16396F4B"/>
    <w:rsid w:val="176818BF"/>
    <w:rsid w:val="17FA5E44"/>
    <w:rsid w:val="199008F8"/>
    <w:rsid w:val="1B042E72"/>
    <w:rsid w:val="1C2B3ECE"/>
    <w:rsid w:val="1F456A61"/>
    <w:rsid w:val="200B2815"/>
    <w:rsid w:val="231A399D"/>
    <w:rsid w:val="249A66FD"/>
    <w:rsid w:val="25D84592"/>
    <w:rsid w:val="274815F0"/>
    <w:rsid w:val="27D171E0"/>
    <w:rsid w:val="2DA27B95"/>
    <w:rsid w:val="2FFC71C6"/>
    <w:rsid w:val="323F00BC"/>
    <w:rsid w:val="324700B2"/>
    <w:rsid w:val="36A26439"/>
    <w:rsid w:val="387272BF"/>
    <w:rsid w:val="3E051E67"/>
    <w:rsid w:val="3E88008E"/>
    <w:rsid w:val="3EC80CDE"/>
    <w:rsid w:val="464A4562"/>
    <w:rsid w:val="4848609B"/>
    <w:rsid w:val="4B37566A"/>
    <w:rsid w:val="4EBC0748"/>
    <w:rsid w:val="4FED4605"/>
    <w:rsid w:val="52FE47AC"/>
    <w:rsid w:val="533A17A5"/>
    <w:rsid w:val="59E33FF0"/>
    <w:rsid w:val="59EA54F5"/>
    <w:rsid w:val="5E214E94"/>
    <w:rsid w:val="5E7004E1"/>
    <w:rsid w:val="6048573D"/>
    <w:rsid w:val="62547A4D"/>
    <w:rsid w:val="63E10B0C"/>
    <w:rsid w:val="6792245C"/>
    <w:rsid w:val="6801069F"/>
    <w:rsid w:val="69130912"/>
    <w:rsid w:val="69CB77D8"/>
    <w:rsid w:val="6A323B2C"/>
    <w:rsid w:val="6ECD36FF"/>
    <w:rsid w:val="72A04A1F"/>
    <w:rsid w:val="72F24D9D"/>
    <w:rsid w:val="738026E3"/>
    <w:rsid w:val="75CA36CA"/>
    <w:rsid w:val="763955BF"/>
    <w:rsid w:val="77FC16E5"/>
    <w:rsid w:val="78FE0A2F"/>
    <w:rsid w:val="7B5E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8</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2021-02-02T00:47:18Z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