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宋体"/>
          <w:b/>
          <w:color w:val="000000"/>
          <w:kern w:val="0"/>
          <w:sz w:val="32"/>
          <w:szCs w:val="32"/>
          <w:lang w:val="en-US" w:eastAsia="zh-CN"/>
        </w:rPr>
        <w:t>（一）</w:t>
      </w:r>
      <w:r>
        <w:rPr>
          <w:rFonts w:hint="eastAsia" w:ascii="楷体_GB2312" w:hAnsi="楷体" w:eastAsia="楷体_GB2312" w:cs="宋体"/>
          <w:b/>
          <w:color w:val="000000"/>
          <w:kern w:val="0"/>
          <w:sz w:val="32"/>
          <w:szCs w:val="32"/>
        </w:rPr>
        <w:t>铝的残留量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auto"/>
          <w:sz w:val="32"/>
          <w:szCs w:val="32"/>
          <w:lang w:eastAsia="zh-CN"/>
        </w:rPr>
      </w:pPr>
      <w:r>
        <w:rPr>
          <w:rFonts w:hint="eastAsia" w:ascii="仿宋_GB2312" w:hAnsi="仿宋" w:eastAsia="仿宋_GB2312" w:cs="仿宋_GB2312"/>
          <w:sz w:val="32"/>
          <w:szCs w:val="32"/>
        </w:rPr>
        <w:t>铝作为食品添加剂硫酸铝钾/硫酸铝铵的重要成分，经常会添加在食物中作为膨松剂或稳定剂。铝有一定的慢性毒性，摄入铝超标的食品，在体内可造成铝的蓄积，轻者会使食欲减退，引起贫血，重者会表现为神经毒性，使人运动失调、记忆力衰退等。</w:t>
      </w:r>
      <w:r>
        <w:rPr>
          <w:rFonts w:hint="eastAsia" w:ascii="仿宋_GB2312" w:hAnsi="仿宋" w:eastAsia="仿宋_GB2312"/>
          <w:sz w:val="32"/>
          <w:szCs w:val="32"/>
        </w:rPr>
        <w:t>本次不合格样品标签明示</w:t>
      </w:r>
      <w:r>
        <w:rPr>
          <w:rFonts w:hint="eastAsia" w:ascii="仿宋_GB2312" w:hAnsi="仿宋"/>
          <w:color w:val="auto"/>
          <w:sz w:val="32"/>
          <w:szCs w:val="32"/>
          <w:lang w:eastAsia="zh-CN"/>
        </w:rPr>
        <w:t>“无任何化学添加剂”但检出一定量的铝残留，易对消费者造成误导。</w:t>
      </w:r>
    </w:p>
    <w:p>
      <w:pPr>
        <w:widowControl/>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二</w:t>
      </w:r>
      <w:r>
        <w:rPr>
          <w:rFonts w:hint="eastAsia" w:ascii="楷体_GB2312" w:hAnsi="宋体" w:eastAsia="楷体_GB2312" w:cs="宋体"/>
          <w:b/>
          <w:kern w:val="0"/>
          <w:sz w:val="32"/>
          <w:szCs w:val="32"/>
        </w:rPr>
        <w:t>）水分</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pStyle w:val="4"/>
        <w:pageBreakBefore w:val="0"/>
        <w:kinsoku/>
        <w:wordWrap/>
        <w:overflowPunct/>
        <w:topLinePunct w:val="0"/>
        <w:autoSpaceDE/>
        <w:autoSpaceDN/>
        <w:bidi w:val="0"/>
        <w:adjustRightInd/>
        <w:snapToGrid/>
        <w:spacing w:before="0" w:after="0" w:line="560" w:lineRule="exact"/>
        <w:ind w:firstLine="643"/>
        <w:textAlignment w:val="auto"/>
        <w:rPr>
          <w:rFonts w:ascii="楷体_GB2312" w:hAnsi="楷体" w:cs="Arial"/>
          <w:szCs w:val="32"/>
          <w:shd w:val="clear" w:color="auto" w:fill="FFFFFF"/>
        </w:rPr>
      </w:pPr>
      <w:r>
        <w:rPr>
          <w:rFonts w:hint="eastAsia" w:ascii="楷体_GB2312" w:hAnsi="楷体" w:eastAsia="楷体_GB2312" w:cs="Times New Roman"/>
          <w:b/>
          <w:bCs w:val="0"/>
          <w:color w:val="auto"/>
          <w:kern w:val="2"/>
          <w:sz w:val="32"/>
          <w:szCs w:val="32"/>
          <w:lang w:val="en-US" w:eastAsia="zh-CN" w:bidi="ar-SA"/>
        </w:rPr>
        <w:t>（</w:t>
      </w:r>
      <w:r>
        <w:rPr>
          <w:rFonts w:hint="eastAsia" w:ascii="楷体_GB2312" w:hAnsi="楷体" w:cs="Times New Roman"/>
          <w:b/>
          <w:bCs w:val="0"/>
          <w:color w:val="auto"/>
          <w:kern w:val="2"/>
          <w:sz w:val="32"/>
          <w:szCs w:val="32"/>
          <w:lang w:val="en-US" w:eastAsia="zh-CN" w:bidi="ar-SA"/>
        </w:rPr>
        <w:t>三</w:t>
      </w:r>
      <w:r>
        <w:rPr>
          <w:rFonts w:hint="eastAsia" w:ascii="楷体_GB2312" w:hAnsi="楷体" w:eastAsia="楷体_GB2312" w:cs="Times New Roman"/>
          <w:b/>
          <w:bCs w:val="0"/>
          <w:color w:val="auto"/>
          <w:kern w:val="2"/>
          <w:sz w:val="32"/>
          <w:szCs w:val="32"/>
          <w:lang w:val="en-US" w:eastAsia="zh-CN" w:bidi="ar-SA"/>
        </w:rPr>
        <w:t>）恩诺沙星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lang w:val="zh-CN" w:eastAsia="zh-CN"/>
        </w:rPr>
      </w:pPr>
      <w:r>
        <w:rPr>
          <w:rFonts w:hint="eastAsia" w:ascii="仿宋_GB2312" w:hAnsi="仿宋" w:eastAsia="仿宋_GB2312"/>
          <w:sz w:val="32"/>
          <w:szCs w:val="32"/>
          <w:lang w:val="zh-CN" w:eastAsia="zh-CN"/>
        </w:rPr>
        <w:t>恩诺沙星属于氟喹诺酮类药物，是一类人工合成的广谱抗菌药，用于治疗动物的皮肤感染、呼吸道感染等，是动物专属用药。《食品安全国家标准 食品中兽药最大残留限量》（GB 31650-2019）中规定，恩诺沙星（最大残留限量以恩诺沙星和环丙沙星之和计）可用于猪、牛、羊、兔、禽、鱼等食用畜禽、水产动物，</w:t>
      </w:r>
      <w:r>
        <w:rPr>
          <w:rFonts w:hint="eastAsia" w:ascii="仿宋_GB2312" w:hAnsi="仿宋"/>
          <w:sz w:val="32"/>
          <w:szCs w:val="32"/>
          <w:lang w:eastAsia="zh-CN"/>
        </w:rPr>
        <w:t>水产品肌肉</w:t>
      </w:r>
      <w:r>
        <w:rPr>
          <w:rFonts w:hint="eastAsia" w:ascii="仿宋_GB2312" w:hAnsi="仿宋" w:eastAsia="仿宋_GB2312"/>
          <w:sz w:val="32"/>
          <w:szCs w:val="32"/>
          <w:lang w:eastAsia="zh-CN"/>
        </w:rPr>
        <w:t>中恩诺沙星(以恩诺沙星与环丙沙星之和计)应≤100μg/kg</w:t>
      </w:r>
      <w:r>
        <w:rPr>
          <w:rFonts w:hint="eastAsia" w:ascii="仿宋_GB2312" w:hAnsi="仿宋" w:eastAsia="仿宋_GB2312"/>
          <w:sz w:val="32"/>
          <w:szCs w:val="32"/>
          <w:lang w:val="zh-CN" w:eastAsia="zh-CN"/>
        </w:rPr>
        <w:t>。长期食用恩诺沙星残留量超标的</w:t>
      </w:r>
      <w:r>
        <w:rPr>
          <w:rFonts w:hint="eastAsia" w:ascii="仿宋_GB2312" w:hAnsi="仿宋"/>
          <w:sz w:val="32"/>
          <w:szCs w:val="32"/>
          <w:lang w:val="zh-CN" w:eastAsia="zh-CN"/>
        </w:rPr>
        <w:t>食品</w:t>
      </w:r>
      <w:r>
        <w:rPr>
          <w:rFonts w:hint="eastAsia" w:ascii="仿宋_GB2312" w:hAnsi="仿宋" w:eastAsia="仿宋_GB2312"/>
          <w:sz w:val="32"/>
          <w:szCs w:val="32"/>
          <w:lang w:val="zh-CN" w:eastAsia="zh-CN"/>
        </w:rPr>
        <w:t>，对人体健康有一定风险。</w:t>
      </w:r>
      <w:bookmarkStart w:id="0" w:name="_GoBack"/>
      <w:bookmarkEnd w:id="0"/>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val="en-US" w:eastAsia="zh-CN"/>
        </w:rPr>
        <w:t>二</w:t>
      </w:r>
      <w:r>
        <w:rPr>
          <w:rStyle w:val="11"/>
          <w:rFonts w:hint="eastAsia" w:ascii="楷体_GB2312" w:hAnsi="楷体" w:eastAsia="楷体_GB2312"/>
          <w:color w:val="auto"/>
          <w:sz w:val="32"/>
          <w:szCs w:val="32"/>
          <w:highlight w:val="none"/>
        </w:rPr>
        <w:t>）提高食品添加剂安全使用意识</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shd w:val="clear" w:color="auto" w:fill="FFFFFF"/>
        <w:spacing w:before="0" w:beforeAutospacing="0" w:after="0" w:afterAutospacing="0" w:line="560" w:lineRule="exact"/>
        <w:ind w:firstLine="643" w:firstLineChars="200"/>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8"/>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91C5D20"/>
    <w:rsid w:val="0EA93008"/>
    <w:rsid w:val="1162065F"/>
    <w:rsid w:val="11B32DA0"/>
    <w:rsid w:val="176818BF"/>
    <w:rsid w:val="190F487E"/>
    <w:rsid w:val="199008F8"/>
    <w:rsid w:val="1B042E72"/>
    <w:rsid w:val="1CA932FC"/>
    <w:rsid w:val="231A399D"/>
    <w:rsid w:val="249A66FD"/>
    <w:rsid w:val="25D84592"/>
    <w:rsid w:val="274815F0"/>
    <w:rsid w:val="27D171E0"/>
    <w:rsid w:val="2DA27B95"/>
    <w:rsid w:val="2FFC71C6"/>
    <w:rsid w:val="31807165"/>
    <w:rsid w:val="323F00BC"/>
    <w:rsid w:val="36A26439"/>
    <w:rsid w:val="3CEE2617"/>
    <w:rsid w:val="3E88008E"/>
    <w:rsid w:val="3EC80CDE"/>
    <w:rsid w:val="464A4562"/>
    <w:rsid w:val="4848609B"/>
    <w:rsid w:val="4B37566A"/>
    <w:rsid w:val="4C633541"/>
    <w:rsid w:val="4C87189C"/>
    <w:rsid w:val="4FED4605"/>
    <w:rsid w:val="52FE47AC"/>
    <w:rsid w:val="533A17A5"/>
    <w:rsid w:val="59E33FF0"/>
    <w:rsid w:val="59EA54F5"/>
    <w:rsid w:val="5E214E94"/>
    <w:rsid w:val="5E7004E1"/>
    <w:rsid w:val="63E10B0C"/>
    <w:rsid w:val="6801069F"/>
    <w:rsid w:val="68D96ACE"/>
    <w:rsid w:val="69130912"/>
    <w:rsid w:val="69CB77D8"/>
    <w:rsid w:val="6A323B2C"/>
    <w:rsid w:val="6ECD36FF"/>
    <w:rsid w:val="72A04A1F"/>
    <w:rsid w:val="72F24D9D"/>
    <w:rsid w:val="738026E3"/>
    <w:rsid w:val="75CA36CA"/>
    <w:rsid w:val="763955BF"/>
    <w:rsid w:val="77FC16E5"/>
    <w:rsid w:val="78FE0A2F"/>
    <w:rsid w:val="7B5E04A9"/>
    <w:rsid w:val="7FD2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4</TotalTime>
  <ScaleCrop>false</ScaleCrop>
  <LinksUpToDate>false</LinksUpToDate>
  <CharactersWithSpaces>4018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2021-02-04T01:50:52Z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