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afterLines="50"/>
        <w:rPr>
          <w:rFonts w:ascii="仿宋_GB2312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</w:t>
      </w:r>
    </w:p>
    <w:p>
      <w:pPr>
        <w:shd w:val="clear" w:color="auto" w:fill="FFFFFF"/>
        <w:snapToGrid w:val="0"/>
        <w:spacing w:afterLines="50"/>
        <w:jc w:val="center"/>
        <w:rPr>
          <w:rFonts w:ascii="方正小标宋简体" w:hAnsi="Arial" w:eastAsia="方正小标宋简体" w:cs="Arial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Arial" w:eastAsia="方正小标宋简体" w:cs="Arial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企业自查表</w:t>
      </w:r>
    </w:p>
    <w:p>
      <w:pPr>
        <w:spacing w:afterLines="30"/>
        <w:jc w:val="left"/>
        <w:rPr>
          <w:rFonts w:ascii="仿宋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企业名称：                         许可证号：                 地址：                     自查日期：</w:t>
      </w:r>
    </w:p>
    <w:tbl>
      <w:tblPr>
        <w:tblStyle w:val="2"/>
        <w:tblW w:w="14134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18"/>
        <w:gridCol w:w="5044"/>
        <w:gridCol w:w="3705"/>
        <w:gridCol w:w="1427"/>
        <w:gridCol w:w="20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自查项目</w:t>
            </w: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检查要求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自查情况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主体资格</w:t>
            </w: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1.《药品生产许可证》是否在有效期内。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2.实际生产范围是否与药品生产许可范围、GMP认证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或符合性检查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范围相一致。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3.新、改、扩建车间是否按规定办理生产许可手续并通过药品GMP认证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或符合性检查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4.生产条件发生变更，是否按要求办理有关许可、备案或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手续。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5.其它应取得许可或备案的情形是否已按规定办理。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产品准入</w:t>
            </w: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6.在产品种的生产批准文件是否在有效期内。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人员要求</w:t>
            </w: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7.关键人员是否在职在岗，并严格履职。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物料控制</w:t>
            </w: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8.使用特殊药品原料药是否按规定办理有关手续并严格管理。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9.采购和使用的原辅料和包装材料是否符合法律法规要求，并正确无误。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生产过程</w:t>
            </w: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10.药品生产管理和质量控制活动是否符合药品GMP要求。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11.是否严格按照注册申报工艺处方及企业相关规程进行生产。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12.中药生产是否存在如下违法行为：非法使用中药提取物；使用假冒伪劣中药材、中药材非药用部位和被污染或提取过的中药材生产药品；不按处方投料，不投料或少投料。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13.中药饮片生产是否存在如下违法行为：生产中增重染色和掺杂掺假；外购中药饮片进行分包装或改换包装标签销售。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14.化学药品生产是否存在如下违法行为：使用化工原料、非法包装材料和不符合药用要求辅料生产药品。（原药不适用）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15.确认、验证是否按GMP规范要求实施（无菌药品生产企业是否按要求开展培养基模拟灌装实验、灭菌柜确认）。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16.中间产品是否得到有效控制。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17.每批产品是否经质量受权人批准后方可放行。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产品检验</w:t>
            </w: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18.是否严格按照法律法规要求及企业相关规程进行检查、检验和复核。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产品质量</w:t>
            </w: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19.在贮存、发运和随后的各种操作过程中是否有保证药品质量的适当措施。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20.是否按照自检操作规程，定期检查评估质量保证系统的有效性和适用性。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生产行为</w:t>
            </w: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21.是否严格执行药品GMP规范要求，坚持诚实守信，无任何虚假、欺骗行为。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22.委托或受托生产是否已取得相关批件。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23.是否有其它涉嫌违法生产的情况。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cs="宋体" w:eastAsiaTheme="minorEastAsia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上市产品管理</w:t>
            </w: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24.是否建立药品不良反应报告和监测管理制度，设立专门机构并配备专职人员负责管理，并主动开展监测及评价工作。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25.是否建立产品召回管理制度，必要时可迅速、有效的从市场召回任何一批存在安全隐患的产品。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自查结论：</w:t>
            </w:r>
          </w:p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整改措施（可另附页）</w:t>
            </w:r>
          </w:p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自查人员签名：</w:t>
            </w:r>
          </w:p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ind w:firstLine="3000" w:firstLineChars="1250"/>
              <w:jc w:val="righ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1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企业法定代表人/质量授权人签名：</w:t>
            </w:r>
          </w:p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ind w:firstLine="3360" w:firstLineChars="1400"/>
              <w:jc w:val="righ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日（章）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52935"/>
    <w:rsid w:val="08681898"/>
    <w:rsid w:val="5DA3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2021-02-22T10:13:00Z</dcterms:created>
  <dc:creator>gongzq</dc:creator>
  <cp:lastModifiedBy>黄婉诗</cp:lastModifiedBy>
  <dcterms:modified xsi:type="dcterms:W3CDTF">2021-02-24T08:36:08Z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