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pacing w:val="-10"/>
          <w:kern w:val="2"/>
          <w:sz w:val="36"/>
          <w:szCs w:val="36"/>
          <w:lang w:val="en-US" w:eastAsia="zh-CN" w:bidi="ar"/>
        </w:rPr>
      </w:pPr>
      <w:r>
        <w:rPr>
          <w:rFonts w:hint="eastAsia" w:ascii="方正小标宋简体" w:hAnsi="方正小标宋简体" w:eastAsia="方正小标宋简体" w:cs="方正小标宋简体"/>
          <w:spacing w:val="-10"/>
          <w:kern w:val="2"/>
          <w:sz w:val="36"/>
          <w:szCs w:val="36"/>
          <w:lang w:val="en-US" w:eastAsia="zh-CN" w:bidi="ar"/>
        </w:rPr>
        <w:t>广东省食品销售动态风险因素量化分值表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pacing w:val="-10"/>
          <w:kern w:val="2"/>
          <w:sz w:val="36"/>
          <w:szCs w:val="36"/>
          <w:lang w:val="en-US" w:eastAsia="zh-CN" w:bidi="ar"/>
        </w:rPr>
      </w:pPr>
      <w:r>
        <w:rPr>
          <w:rFonts w:hint="eastAsia" w:ascii="方正小标宋简体" w:hAnsi="方正小标宋简体" w:eastAsia="方正小标宋简体" w:cs="方正小标宋简体"/>
          <w:spacing w:val="-10"/>
          <w:kern w:val="2"/>
          <w:sz w:val="36"/>
          <w:szCs w:val="36"/>
          <w:lang w:val="en-US" w:eastAsia="zh-CN" w:bidi="ar"/>
        </w:rPr>
        <w:t>广东省食品销售日常监督检查要点表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center"/>
        <w:textAlignment w:val="auto"/>
        <w:outlineLvl w:val="0"/>
        <w:rPr>
          <w:rFonts w:hint="eastAsia" w:ascii="仿宋" w:hAnsi="仿宋" w:eastAsia="仿宋" w:cs="仿宋"/>
          <w:spacing w:val="-10"/>
          <w:kern w:val="2"/>
          <w:sz w:val="28"/>
          <w:szCs w:val="28"/>
        </w:rPr>
      </w:pPr>
      <w:r>
        <w:rPr>
          <w:rFonts w:hint="eastAsia" w:ascii="仿宋" w:hAnsi="仿宋" w:eastAsia="仿宋" w:cs="仿宋"/>
          <w:spacing w:val="-10"/>
          <w:kern w:val="2"/>
          <w:sz w:val="28"/>
          <w:szCs w:val="28"/>
          <w:lang w:val="en-US" w:eastAsia="zh-CN" w:bidi="ar"/>
        </w:rPr>
        <w:t>（适用于食品销售企业）</w:t>
      </w:r>
    </w:p>
    <w:p>
      <w:pPr>
        <w:keepNext w:val="0"/>
        <w:keepLines w:val="0"/>
        <w:widowControl w:val="0"/>
        <w:suppressLineNumbers w:val="0"/>
        <w:spacing w:before="0" w:beforeAutospacing="0" w:after="0" w:afterAutospacing="0"/>
        <w:ind w:left="0" w:right="0" w:firstLine="720" w:firstLineChars="300"/>
        <w:jc w:val="both"/>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经营企业名称：</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Times New Roman"/>
          <w:kern w:val="2"/>
          <w:sz w:val="24"/>
          <w:szCs w:val="24"/>
          <w:lang w:val="en-US" w:eastAsia="zh-CN" w:bidi="ar"/>
        </w:rPr>
        <w:t xml:space="preserve">                                       </w:t>
      </w:r>
      <w:r>
        <w:rPr>
          <w:rFonts w:hint="eastAsia" w:ascii="仿宋" w:hAnsi="仿宋" w:eastAsia="仿宋" w:cs="仿宋"/>
          <w:kern w:val="2"/>
          <w:sz w:val="24"/>
          <w:szCs w:val="24"/>
          <w:lang w:val="en-US" w:eastAsia="zh-CN" w:bidi="ar"/>
        </w:rPr>
        <w:t>评定时间：</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年</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月</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日</w:t>
      </w:r>
    </w:p>
    <w:tbl>
      <w:tblPr>
        <w:tblStyle w:val="7"/>
        <w:tblW w:w="1387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731"/>
        <w:gridCol w:w="7926"/>
        <w:gridCol w:w="1415"/>
        <w:gridCol w:w="884"/>
        <w:gridCol w:w="18"/>
        <w:gridCol w:w="1187"/>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trPr>
        <w:tc>
          <w:tcPr>
            <w:tcW w:w="1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bookmarkStart w:id="0" w:name="OLE_LINK5"/>
            <w:r>
              <w:rPr>
                <w:rFonts w:hint="eastAsia" w:ascii="宋体" w:hAnsi="宋体" w:eastAsia="宋体" w:cs="宋体"/>
                <w:b/>
                <w:bCs w:val="0"/>
                <w:kern w:val="0"/>
                <w:sz w:val="24"/>
                <w:szCs w:val="24"/>
                <w:lang w:val="en-US" w:eastAsia="zh-CN" w:bidi="ar"/>
              </w:rPr>
              <w:t>检查项目</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序号</w:t>
            </w:r>
          </w:p>
        </w:tc>
        <w:tc>
          <w:tcPr>
            <w:tcW w:w="79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检  查  内  容</w:t>
            </w:r>
          </w:p>
        </w:tc>
        <w:tc>
          <w:tcPr>
            <w:tcW w:w="14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评价</w:t>
            </w:r>
          </w:p>
        </w:tc>
        <w:tc>
          <w:tcPr>
            <w:tcW w:w="8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分值</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rPr>
            </w:pPr>
            <w:r>
              <w:rPr>
                <w:rFonts w:hint="eastAsia" w:ascii="宋体" w:hAnsi="宋体" w:eastAsia="宋体" w:cs="宋体"/>
                <w:b/>
                <w:bCs w:val="0"/>
                <w:kern w:val="2"/>
                <w:sz w:val="24"/>
                <w:szCs w:val="24"/>
                <w:lang w:val="en-US" w:eastAsia="zh-CN" w:bidi="ar"/>
              </w:rPr>
              <w:t>食品通用检查项目（</w:t>
            </w:r>
            <w:r>
              <w:rPr>
                <w:rFonts w:hint="eastAsia" w:ascii="宋体" w:hAnsi="宋体" w:cs="宋体"/>
                <w:b/>
                <w:bCs w:val="0"/>
                <w:kern w:val="2"/>
                <w:sz w:val="24"/>
                <w:szCs w:val="24"/>
                <w:lang w:val="en-US" w:eastAsia="zh-CN" w:bidi="ar"/>
              </w:rPr>
              <w:t>31</w:t>
            </w:r>
            <w:r>
              <w:rPr>
                <w:rFonts w:hint="eastAsia" w:ascii="宋体" w:hAnsi="宋体" w:eastAsia="宋体" w:cs="宋体"/>
                <w:b/>
                <w:bCs w:val="0"/>
                <w:kern w:val="2"/>
                <w:sz w:val="24"/>
                <w:szCs w:val="24"/>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一、经营资质</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*1</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lang w:val="en-US" w:eastAsia="zh-CN" w:bidi="ar"/>
              </w:rPr>
              <w:t>许可证合法有效，悬挂或摆放在经营场所的醒目位置。</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lang w:val="en-US" w:eastAsia="zh-CN" w:bidi="ar"/>
              </w:rPr>
              <w:t>2</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highlight w:val="none"/>
                <w:lang w:val="en-US" w:eastAsia="zh-CN" w:bidi="ar"/>
              </w:rPr>
              <w:t>许可证载明的事项与实际经营相符合。</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二、经营条件</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3</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经营场所环境干净整洁，与污染源保持规定的距离。</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4</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经营场所与生活区分（隔）开，食品和非食品、生食和熟食、水产品与其他食品等销售、贮存区域分开设置。</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5</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及时报告外设贮存场所。</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0.5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highlight w:val="none"/>
                <w:lang w:val="en-US" w:eastAsia="zh-CN" w:bidi="ar"/>
              </w:rPr>
              <w:t>三、制度管理</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6</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lang w:val="en-US" w:eastAsia="zh-CN" w:bidi="ar"/>
              </w:rPr>
              <w:t>建立并落实食品安全管理各项制度。</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7</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highlight w:val="none"/>
                <w:lang w:val="en-US" w:eastAsia="zh-CN" w:bidi="ar"/>
              </w:rPr>
              <w:t>建立食品安全自查制度，经营条件发生变化，不再符合食品安全要求的，立即采取有效措施整改。</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highlight w:val="none"/>
                <w:lang w:val="en-US" w:eastAsia="zh-CN" w:bidi="ar"/>
              </w:rPr>
              <w:t>8</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highlight w:val="none"/>
                <w:lang w:val="en-US" w:eastAsia="zh-CN" w:bidi="ar"/>
              </w:rPr>
              <w:t>制定食品安全事故处置方案，定期检查本企业各项食品安全防范措施的落实情况，按规定处理食品安全事故。</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outlineLvl w:val="9"/>
              <w:rPr>
                <w:rFonts w:hint="eastAsia" w:ascii="宋体" w:hAnsi="宋体" w:eastAsia="宋体" w:cs="宋体"/>
                <w:b w:val="0"/>
                <w:bCs/>
                <w:sz w:val="20"/>
                <w:szCs w:val="20"/>
                <w:lang w:eastAsia="zh-CN"/>
              </w:rPr>
            </w:pPr>
          </w:p>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四、人员管理</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9</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主要负责人建立并落实食品安全责任制。</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lang w:eastAsia="zh-CN"/>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10</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配备食品安全管理人员，对食品安全管理人员进行培训和考核，有相关记录。</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11</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建立并执行从业人员健康管理制度，对</w:t>
            </w:r>
            <w:r>
              <w:rPr>
                <w:rFonts w:hint="eastAsia" w:ascii="宋体" w:hAnsi="宋体" w:eastAsia="宋体" w:cs="宋体"/>
                <w:b w:val="0"/>
                <w:bCs/>
                <w:sz w:val="21"/>
                <w:szCs w:val="21"/>
                <w:lang w:val="en-US" w:eastAsia="zh-CN"/>
              </w:rPr>
              <w:t>从业人员进行食品安全知识培训，有相关记录。</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lang w:val="en-US" w:eastAsia="zh-CN"/>
              </w:rPr>
              <w:t>12</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从事接触直接入口食品工作的从业人员取得健康证明。</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五、经营过程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控制</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lang w:val="en-US" w:eastAsia="zh-CN"/>
              </w:rPr>
              <w:t>13</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采购食品、食品添加剂，查验供货者的许可证和食品、食品添加剂出厂检验合格证或者其他合格证明。</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14</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建立食品、食品添加剂进货查验记录制度，如实记录所采购货品的名称、规格、数量、生产日期或者生产批号、保质期、进货日期以及供货者名称、地址、联系方式等内容，并保存相关凭证。</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lang w:val="en-US" w:eastAsia="zh-CN"/>
              </w:rPr>
              <w:t>15</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按照食品标签标示的警示标志、说明或者注意事项的要求贮存和销售食品。</w:t>
            </w:r>
            <w:r>
              <w:rPr>
                <w:rFonts w:hint="eastAsia" w:ascii="宋体" w:hAnsi="宋体" w:eastAsia="宋体" w:cs="宋体"/>
                <w:color w:val="000000"/>
                <w:kern w:val="0"/>
                <w:sz w:val="21"/>
                <w:szCs w:val="21"/>
              </w:rPr>
              <w:t>对经营过程有温度、湿度要求的，配备相关设备</w:t>
            </w:r>
            <w:r>
              <w:rPr>
                <w:rFonts w:hint="eastAsia" w:ascii="宋体" w:hAnsi="宋体" w:eastAsia="宋体" w:cs="宋体"/>
                <w:color w:val="000000"/>
                <w:kern w:val="0"/>
                <w:sz w:val="21"/>
                <w:szCs w:val="21"/>
                <w:lang w:eastAsia="zh-CN"/>
              </w:rPr>
              <w:t>设施。</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16</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定期检查库存食品，及时清理变质或者超过保质期的食品，并且有记录。</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17</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过期、变质或回收的食品有显著标志，或单独存放在有明确标志的场所。</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18</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食品贮存、加工、陈列及“三防”等设备设施运转正常，并保持清洁。</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19</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食品贮存隔墙离地距离在10厘米以上。</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0.5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20</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从事食品批发业务的销售企业，建立食品销售记录，如实记录批发食品的名称、规格、数量、生产日期或者生产批号、保质期、销售日期、以及购货者名称、地址、联系方式等内容，并保存相关凭证。</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lang w:val="en-US" w:eastAsia="zh-CN"/>
              </w:rPr>
              <w:t>21</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bookmarkStart w:id="1" w:name="OLE_LINK4"/>
            <w:r>
              <w:rPr>
                <w:rFonts w:hint="eastAsia" w:ascii="宋体" w:hAnsi="宋体" w:eastAsia="宋体" w:cs="宋体"/>
                <w:b w:val="0"/>
                <w:bCs/>
                <w:color w:val="000000"/>
                <w:kern w:val="0"/>
                <w:sz w:val="21"/>
                <w:szCs w:val="21"/>
                <w:lang w:val="en-US" w:eastAsia="zh-CN" w:bidi="ar"/>
              </w:rPr>
              <w:t>现场抽查</w:t>
            </w:r>
            <w:bookmarkEnd w:id="1"/>
            <w:r>
              <w:rPr>
                <w:rFonts w:hint="eastAsia" w:ascii="宋体" w:hAnsi="宋体" w:eastAsia="宋体" w:cs="宋体"/>
                <w:b w:val="0"/>
                <w:bCs/>
                <w:color w:val="000000"/>
                <w:kern w:val="0"/>
                <w:sz w:val="21"/>
                <w:szCs w:val="21"/>
                <w:lang w:val="en-US" w:eastAsia="zh-CN" w:bidi="ar"/>
              </w:rPr>
              <w:t>未发现超过保质期、感官性状异常的食品。</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bookmarkStart w:id="2" w:name="OLE_LINK3"/>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bookmarkEnd w:id="2"/>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22</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现场抽查</w:t>
            </w:r>
            <w:r>
              <w:rPr>
                <w:rFonts w:hint="eastAsia" w:ascii="宋体" w:hAnsi="宋体" w:eastAsia="宋体" w:cs="仿宋"/>
                <w:color w:val="000000"/>
                <w:kern w:val="0"/>
                <w:sz w:val="21"/>
                <w:szCs w:val="21"/>
              </w:rPr>
              <w:t>大米检测报告含有重金属检验项目。</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lang w:val="en-US" w:eastAsia="zh-CN"/>
              </w:rPr>
              <w:t>23</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现场抽查未发现经营其他涉嫌违反《食品安全法》有关规定的食品。</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24</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center"/>
              <w:outlineLvl w:val="9"/>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 w:val="0"/>
                <w:bCs/>
                <w:color w:val="000000"/>
                <w:kern w:val="0"/>
                <w:sz w:val="21"/>
                <w:szCs w:val="21"/>
              </w:rPr>
              <w:t>运输和装卸食品的容器、工具和设备安全、无害，保持清洁，并符合保证食品安全所需的温度、湿度等特殊要求。</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lang w:val="en-US" w:eastAsia="zh-CN"/>
              </w:rPr>
              <w:t>25</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outlineLvl w:val="9"/>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 w:val="0"/>
                <w:bCs/>
                <w:color w:val="000000"/>
                <w:kern w:val="0"/>
                <w:sz w:val="21"/>
                <w:szCs w:val="21"/>
              </w:rPr>
              <w:t>食品不得与有毒、有害物品一同贮存、运输。</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26</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按要求停止销售、召回、报告不符合食品安全标准或者证明可能危害人体健康的食品。</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0.5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六、标签与广告</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27</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抽查的预包装食品、食品添加剂的包装上有标签，标签标明的内容符合食品安全法等法律法规的规定。</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28</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抽查的食品标签、说明书，</w:t>
            </w:r>
            <w:r>
              <w:rPr>
                <w:rFonts w:hint="eastAsia" w:ascii="宋体" w:hAnsi="宋体" w:eastAsia="宋体" w:cs="宋体"/>
                <w:b w:val="0"/>
                <w:bCs/>
                <w:color w:val="000000"/>
                <w:kern w:val="0"/>
                <w:sz w:val="21"/>
                <w:szCs w:val="21"/>
                <w:highlight w:val="none"/>
                <w:lang w:val="en-US" w:eastAsia="zh-CN" w:bidi="ar"/>
              </w:rPr>
              <w:t>经营场所设置或摆放的食品广告（含宣传资料）的内容</w:t>
            </w:r>
            <w:r>
              <w:rPr>
                <w:rFonts w:hint="eastAsia" w:ascii="宋体" w:hAnsi="宋体" w:eastAsia="宋体" w:cs="宋体"/>
                <w:b w:val="0"/>
                <w:bCs/>
                <w:color w:val="000000"/>
                <w:kern w:val="0"/>
                <w:sz w:val="21"/>
                <w:szCs w:val="21"/>
                <w:lang w:val="en-US" w:eastAsia="zh-CN" w:bidi="ar"/>
              </w:rPr>
              <w:t>未涉及疾病预防、治疗功能。</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0.5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29</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贮存和销售散装食品的，在散装食品的容器、外包装上标明食品的名称、生产日期或者生产批号、保质期、生产者名称、地址及联系方式等内容。</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30</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抽查的转基因食品按照规定显著标示。</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0.5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七、其他</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kern w:val="0"/>
                <w:sz w:val="21"/>
                <w:szCs w:val="21"/>
                <w:lang w:val="en-US" w:eastAsia="zh-CN"/>
              </w:rPr>
              <w:t>31</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color w:val="000000"/>
                <w:kern w:val="0"/>
                <w:sz w:val="21"/>
                <w:szCs w:val="21"/>
              </w:rPr>
              <w:t>食品经营者张贴并保持上次监督检查结果记录。</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bookmarkStart w:id="3" w:name="OLE_LINK8"/>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bookmarkEnd w:id="3"/>
          </w:p>
        </w:tc>
        <w:tc>
          <w:tcPr>
            <w:tcW w:w="88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kern w:val="0"/>
                <w:sz w:val="21"/>
                <w:szCs w:val="21"/>
                <w:lang w:val="en-US" w:eastAsia="zh-CN" w:bidi="ar"/>
              </w:rPr>
              <w:t>0.5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70" w:type="dxa"/>
            <w:gridSpan w:val="8"/>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r>
              <w:rPr>
                <w:rFonts w:hint="eastAsia" w:ascii="宋体" w:hAnsi="宋体" w:eastAsia="宋体" w:cs="宋体"/>
                <w:b/>
                <w:bCs w:val="0"/>
                <w:kern w:val="2"/>
                <w:sz w:val="24"/>
                <w:szCs w:val="24"/>
                <w:lang w:val="en-US" w:eastAsia="zh-CN" w:bidi="ar"/>
              </w:rPr>
              <w:t>食品特殊检查项目（20项）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八、食用农产品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32</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建立食用农产品进货查验记录制度，如实记录所采购食用农产品的名称、数量、进货日期以及供货者名称、地址、联系方式等内容，并保存相关凭证。</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highlight w:val="none"/>
                <w:lang w:val="en-US" w:eastAsia="zh-CN"/>
              </w:rPr>
              <w:t>33</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抽查按照有关规定需要检疫、检验的肉类，有检疫合格证明、肉类检验合格证明等证明文件。</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九、进口食品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34</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抽查的进口预包装食品有中文标签，并载明食品的原产地以及境内代理商的名称、地址、联系方式。</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lang w:val="en-US" w:eastAsia="zh-CN"/>
              </w:rPr>
              <w:t>3</w:t>
            </w:r>
            <w:r>
              <w:rPr>
                <w:rFonts w:hint="eastAsia" w:ascii="宋体" w:hAnsi="宋体" w:cs="宋体"/>
                <w:b w:val="0"/>
                <w:bCs/>
                <w:color w:val="000000"/>
                <w:kern w:val="0"/>
                <w:sz w:val="21"/>
                <w:szCs w:val="21"/>
                <w:lang w:val="en-US" w:eastAsia="zh-CN"/>
              </w:rPr>
              <w:t>5</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抽查的进口食品有国家海关部门出具的入境货物检验检疫证明。</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十、特殊食品</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36</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特殊食品实行专区专柜销售，并按规定设立提示牌。保健食品经营场所显著位置标注“保健食品不是药物，不能代替药物治疗疾病”等消费提示信息。</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bookmarkStart w:id="4" w:name="OLE_LINK2"/>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bookmarkEnd w:id="4"/>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37</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抽查的保健食品广告内容经省级监管部门审查批准，取得保健食品广告批准文号，声明“本品不能代替药物”。</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38</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抽查的专供婴幼儿和其他特定人群的主辅食品，其标签标明主要营养成分及其含量。</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0.5</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39</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经营的国产婴幼儿配方乳粉有批次全项目检验报告。</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0.5</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836" w:hRule="atLeast"/>
        </w:trPr>
        <w:tc>
          <w:tcPr>
            <w:tcW w:w="169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eastAsia="zh-CN"/>
              </w:rPr>
              <w:t>十一、</w:t>
            </w:r>
            <w:r>
              <w:rPr>
                <w:rFonts w:hint="eastAsia" w:ascii="宋体" w:hAnsi="宋体" w:eastAsia="宋体" w:cs="宋体"/>
                <w:b w:val="0"/>
                <w:bCs/>
                <w:color w:val="000000"/>
                <w:kern w:val="0"/>
                <w:sz w:val="21"/>
                <w:szCs w:val="21"/>
              </w:rPr>
              <w:t>网络经营</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lang w:val="en-US" w:eastAsia="zh-CN"/>
              </w:rPr>
              <w:t>40</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center"/>
              <w:outlineLvl w:val="9"/>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 w:val="0"/>
                <w:bCs/>
                <w:color w:val="000000"/>
                <w:kern w:val="0"/>
                <w:sz w:val="21"/>
                <w:szCs w:val="21"/>
              </w:rPr>
              <w:t>入网食品经营者在其经营活动主页面显著位置公示其食品经营许可证。</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0.5</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lang w:val="en-US" w:eastAsia="zh-CN"/>
              </w:rPr>
              <w:t>41</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center"/>
              <w:outlineLvl w:val="9"/>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 w:val="0"/>
                <w:bCs/>
                <w:color w:val="000000"/>
                <w:kern w:val="0"/>
                <w:sz w:val="21"/>
                <w:szCs w:val="21"/>
              </w:rPr>
              <w:t>入网食品经营者销售特殊医学用途配方食品中非特定全营养配方食品、婴幼儿配方乳粉、保健食品，应当公示产品注册证书或者备案凭证。</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0.5</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restart"/>
            <w:tcBorders>
              <w:top w:val="nil"/>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十二、现场制售</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42</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操作人员穿戴清洁的工作衣帽，双手清洁，保持个人卫生。</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42"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43</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食品操作区域保持清洁、卫生。</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44</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食品原料、半成品和成品盛放、贮存时相互分开。</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14"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45</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食品添加剂由专人负责保管、领用、登记，并有相关记录。</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1.5</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46</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bidi="ar"/>
              </w:rPr>
              <w:t>操作专间无明渠，温度控制在25度以下，消毒记录完整,无存放与食品加工无关物品情况。</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kern w:val="0"/>
                <w:sz w:val="21"/>
                <w:szCs w:val="21"/>
                <w:highlight w:val="none"/>
                <w:lang w:val="en-US" w:eastAsia="zh-CN"/>
              </w:rPr>
              <w:t>47</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bidi="ar"/>
              </w:rPr>
              <w:t>用水符合生活饮用水标准。直接接触成品的用水，应经水净化设施处理或使用直接饮用水。</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48</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餐厨用具及盛放直接入口食品的容器无毒无害，使用前后按要求进行清洗消毒。</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0"/>
                <w:szCs w:val="20"/>
              </w:rPr>
            </w:pPr>
            <w:bookmarkStart w:id="5" w:name="OLE_LINK1" w:colFirst="0" w:colLast="1"/>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kern w:val="0"/>
                <w:sz w:val="21"/>
                <w:szCs w:val="21"/>
                <w:lang w:val="en-US" w:eastAsia="zh-CN"/>
              </w:rPr>
              <w:t>49</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不存在加工使用不符合食品安全标准的食品及原料的情况。</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2</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restart"/>
            <w:tcBorders>
              <w:top w:val="nil"/>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lang w:eastAsia="zh-CN"/>
              </w:rPr>
            </w:pPr>
            <w:r>
              <w:rPr>
                <w:rFonts w:hint="eastAsia" w:ascii="宋体" w:hAnsi="宋体" w:eastAsia="宋体" w:cs="宋体"/>
                <w:b w:val="0"/>
                <w:bCs/>
                <w:sz w:val="21"/>
                <w:szCs w:val="21"/>
                <w:lang w:eastAsia="zh-CN"/>
              </w:rPr>
              <w:t>十三、利用自动售货设备经营</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50</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放置地点与备案一致，并按规定公示食品经营许可证、经营者联系方式等资料。</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1</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51</w:t>
            </w:r>
          </w:p>
        </w:tc>
        <w:tc>
          <w:tcPr>
            <w:tcW w:w="792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自动售货设备整洁，设备运行正常，并有清洁消毒记录。</w:t>
            </w:r>
          </w:p>
        </w:tc>
        <w:tc>
          <w:tcPr>
            <w:tcW w:w="141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90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1</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90" w:hRule="atLeast"/>
        </w:trPr>
        <w:tc>
          <w:tcPr>
            <w:tcW w:w="1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本次动态风险因素量化分值</w:t>
            </w:r>
          </w:p>
        </w:tc>
        <w:tc>
          <w:tcPr>
            <w:tcW w:w="12161"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707" w:hRule="atLeast"/>
        </w:trPr>
        <w:tc>
          <w:tcPr>
            <w:tcW w:w="1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评级人员签名</w:t>
            </w:r>
          </w:p>
        </w:tc>
        <w:tc>
          <w:tcPr>
            <w:tcW w:w="12161"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70" w:hRule="atLeast"/>
        </w:trPr>
        <w:tc>
          <w:tcPr>
            <w:tcW w:w="1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备　注</w:t>
            </w:r>
          </w:p>
        </w:tc>
        <w:tc>
          <w:tcPr>
            <w:tcW w:w="12161"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1.检查评价为“否”的，予以计分；2.选择合理缺项的，不计分；3.</w:t>
            </w:r>
            <w:r>
              <w:rPr>
                <w:rFonts w:hint="eastAsia" w:ascii="宋体" w:hAnsi="宋体" w:eastAsia="宋体" w:cs="宋体"/>
                <w:b w:val="0"/>
                <w:bCs/>
                <w:color w:val="000000"/>
                <w:kern w:val="0"/>
                <w:sz w:val="21"/>
                <w:szCs w:val="21"/>
                <w:highlight w:val="none"/>
                <w:lang w:val="en-US" w:eastAsia="zh-CN" w:bidi="ar"/>
              </w:rPr>
              <w:t>*为重点项（共12项），其他为一般项（共39项）；4.</w:t>
            </w:r>
            <w:r>
              <w:rPr>
                <w:rFonts w:hint="eastAsia" w:ascii="宋体" w:hAnsi="宋体" w:eastAsia="宋体" w:cs="宋体"/>
                <w:b w:val="0"/>
                <w:bCs/>
                <w:kern w:val="2"/>
                <w:sz w:val="21"/>
                <w:szCs w:val="21"/>
                <w:lang w:val="en-US" w:eastAsia="zh-CN" w:bidi="ar"/>
              </w:rPr>
              <w:t>如无第八至十三项经营内容的，无需填写相关内容；5.开展日常监督检查时，本表应结合《</w:t>
            </w:r>
            <w:r>
              <w:rPr>
                <w:rFonts w:hint="eastAsia" w:ascii="宋体" w:hAnsi="宋体" w:eastAsia="宋体" w:cs="宋体"/>
                <w:sz w:val="21"/>
                <w:szCs w:val="21"/>
              </w:rPr>
              <w:t>广东省食品药品监督管理局办公室关于印发</w:t>
            </w:r>
            <w:r>
              <w:rPr>
                <w:rFonts w:hint="eastAsia" w:ascii="宋体" w:hAnsi="宋体" w:eastAsia="宋体" w:cs="宋体"/>
                <w:sz w:val="21"/>
                <w:szCs w:val="21"/>
                <w:lang w:val="en-US" w:eastAsia="zh-CN"/>
              </w:rPr>
              <w:t>&lt;</w:t>
            </w:r>
            <w:r>
              <w:rPr>
                <w:rFonts w:hint="eastAsia" w:ascii="宋体" w:hAnsi="宋体" w:eastAsia="宋体" w:cs="宋体"/>
                <w:sz w:val="21"/>
                <w:szCs w:val="21"/>
              </w:rPr>
              <w:t>食品经营日常监督检查要点表</w:t>
            </w:r>
            <w:r>
              <w:rPr>
                <w:rFonts w:hint="eastAsia" w:ascii="宋体" w:hAnsi="宋体" w:eastAsia="宋体" w:cs="宋体"/>
                <w:sz w:val="21"/>
                <w:szCs w:val="21"/>
                <w:lang w:val="en-US" w:eastAsia="zh-CN"/>
              </w:rPr>
              <w:t>&gt;&lt;</w:t>
            </w:r>
            <w:r>
              <w:rPr>
                <w:rFonts w:hint="eastAsia" w:ascii="宋体" w:hAnsi="宋体" w:eastAsia="宋体" w:cs="宋体"/>
                <w:sz w:val="21"/>
                <w:szCs w:val="21"/>
              </w:rPr>
              <w:t>食品经营日常监督检查结果记录表</w:t>
            </w:r>
            <w:r>
              <w:rPr>
                <w:rFonts w:hint="eastAsia" w:ascii="宋体" w:hAnsi="宋体" w:eastAsia="宋体" w:cs="宋体"/>
                <w:sz w:val="21"/>
                <w:szCs w:val="21"/>
                <w:lang w:val="en-US" w:eastAsia="zh-CN"/>
              </w:rPr>
              <w:t>&gt;</w:t>
            </w:r>
            <w:r>
              <w:rPr>
                <w:rFonts w:hint="eastAsia" w:ascii="宋体" w:hAnsi="宋体" w:eastAsia="宋体" w:cs="宋体"/>
                <w:sz w:val="21"/>
                <w:szCs w:val="21"/>
              </w:rPr>
              <w:t>的通知</w:t>
            </w:r>
            <w:r>
              <w:rPr>
                <w:rFonts w:hint="eastAsia" w:ascii="宋体" w:hAnsi="宋体" w:eastAsia="宋体" w:cs="宋体"/>
                <w:b w:val="0"/>
                <w:bCs/>
                <w:kern w:val="2"/>
                <w:sz w:val="21"/>
                <w:szCs w:val="21"/>
                <w:lang w:val="en-US" w:eastAsia="zh-CN" w:bidi="ar"/>
              </w:rPr>
              <w:t>》中的《告知页》和</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食品经营日常监督检查结果记录表</w:t>
            </w:r>
            <w:r>
              <w:rPr>
                <w:rFonts w:hint="eastAsia" w:ascii="宋体" w:hAnsi="宋体" w:eastAsia="宋体" w:cs="宋体"/>
                <w:color w:val="000000"/>
                <w:kern w:val="0"/>
                <w:sz w:val="21"/>
                <w:szCs w:val="21"/>
                <w:lang w:eastAsia="zh-CN"/>
              </w:rPr>
              <w:t>》使用。</w:t>
            </w:r>
          </w:p>
        </w:tc>
      </w:tr>
      <w:bookmarkEnd w:id="0"/>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pacing w:val="-10"/>
          <w:kern w:val="2"/>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pacing w:val="-10"/>
          <w:kern w:val="2"/>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pacing w:val="-10"/>
          <w:kern w:val="2"/>
          <w:sz w:val="36"/>
          <w:szCs w:val="36"/>
          <w:lang w:val="en-US" w:eastAsia="zh-CN" w:bidi="ar"/>
        </w:rPr>
      </w:pPr>
      <w:bookmarkStart w:id="8" w:name="_GoBack"/>
      <w:r>
        <w:rPr>
          <w:rFonts w:hint="eastAsia" w:ascii="方正小标宋简体" w:hAnsi="方正小标宋简体" w:eastAsia="方正小标宋简体" w:cs="方正小标宋简体"/>
          <w:spacing w:val="-10"/>
          <w:kern w:val="2"/>
          <w:sz w:val="36"/>
          <w:szCs w:val="36"/>
          <w:lang w:val="en-US" w:eastAsia="zh-CN" w:bidi="ar"/>
        </w:rPr>
        <w:t>广东省食品销售动态风险因素量化分值表</w:t>
      </w:r>
    </w:p>
    <w:bookmarkEnd w:id="8"/>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pacing w:val="-10"/>
          <w:kern w:val="2"/>
          <w:sz w:val="36"/>
          <w:szCs w:val="36"/>
          <w:lang w:val="en-US" w:eastAsia="zh-CN" w:bidi="ar"/>
        </w:rPr>
      </w:pPr>
      <w:r>
        <w:rPr>
          <w:rFonts w:hint="eastAsia" w:ascii="方正小标宋简体" w:hAnsi="方正小标宋简体" w:eastAsia="方正小标宋简体" w:cs="方正小标宋简体"/>
          <w:spacing w:val="-10"/>
          <w:kern w:val="2"/>
          <w:sz w:val="36"/>
          <w:szCs w:val="36"/>
          <w:lang w:val="en-US" w:eastAsia="zh-CN" w:bidi="ar"/>
        </w:rPr>
        <w:t>广东省食品销售日常监督检查要点表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center"/>
        <w:textAlignment w:val="auto"/>
        <w:outlineLvl w:val="0"/>
        <w:rPr>
          <w:rFonts w:hint="eastAsia" w:ascii="仿宋_GB2312" w:hAnsi="仿宋_GB2312" w:eastAsia="仿宋_GB2312" w:cs="仿宋_GB2312"/>
          <w:spacing w:val="-10"/>
          <w:kern w:val="2"/>
          <w:sz w:val="28"/>
          <w:szCs w:val="28"/>
        </w:rPr>
      </w:pPr>
      <w:r>
        <w:rPr>
          <w:rFonts w:hint="eastAsia" w:ascii="仿宋_GB2312" w:hAnsi="仿宋_GB2312" w:eastAsia="仿宋_GB2312" w:cs="仿宋_GB2312"/>
          <w:spacing w:val="-10"/>
          <w:kern w:val="2"/>
          <w:sz w:val="28"/>
          <w:szCs w:val="28"/>
          <w:lang w:val="en-US" w:eastAsia="zh-CN" w:bidi="ar"/>
        </w:rPr>
        <w:t>（适用于非企业性质食品销售者）</w:t>
      </w:r>
    </w:p>
    <w:p>
      <w:pPr>
        <w:keepNext w:val="0"/>
        <w:keepLines w:val="0"/>
        <w:widowControl w:val="0"/>
        <w:suppressLineNumbers w:val="0"/>
        <w:spacing w:before="0" w:beforeAutospacing="0" w:after="0" w:afterAutospacing="0"/>
        <w:ind w:left="0" w:right="0" w:firstLine="720" w:firstLineChars="300"/>
        <w:jc w:val="both"/>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经营者名称：</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Times New Roman"/>
          <w:kern w:val="2"/>
          <w:sz w:val="24"/>
          <w:szCs w:val="24"/>
          <w:lang w:val="en-US" w:eastAsia="zh-CN" w:bidi="ar"/>
        </w:rPr>
        <w:t xml:space="preserve">                                      </w:t>
      </w:r>
      <w:r>
        <w:rPr>
          <w:rFonts w:hint="eastAsia" w:ascii="仿宋" w:hAnsi="仿宋" w:eastAsia="仿宋" w:cs="仿宋"/>
          <w:kern w:val="2"/>
          <w:sz w:val="24"/>
          <w:szCs w:val="24"/>
          <w:lang w:val="en-US" w:eastAsia="zh-CN" w:bidi="ar"/>
        </w:rPr>
        <w:t>评定时间：</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年</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月</w:t>
      </w:r>
      <w:r>
        <w:rPr>
          <w:rFonts w:hint="eastAsia" w:ascii="仿宋" w:hAnsi="仿宋" w:eastAsia="仿宋" w:cs="Times New Roman"/>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日</w:t>
      </w:r>
    </w:p>
    <w:tbl>
      <w:tblPr>
        <w:tblStyle w:val="7"/>
        <w:tblW w:w="1387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731"/>
        <w:gridCol w:w="7643"/>
        <w:gridCol w:w="9"/>
        <w:gridCol w:w="1528"/>
        <w:gridCol w:w="9"/>
        <w:gridCol w:w="1036"/>
        <w:gridCol w:w="18"/>
        <w:gridCol w:w="1187"/>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trPr>
        <w:tc>
          <w:tcPr>
            <w:tcW w:w="1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检查项目</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序号</w:t>
            </w:r>
          </w:p>
        </w:tc>
        <w:tc>
          <w:tcPr>
            <w:tcW w:w="76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检  查  内  容</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评价</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分值</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3870"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rPr>
            </w:pPr>
            <w:r>
              <w:rPr>
                <w:rFonts w:hint="eastAsia" w:ascii="宋体" w:hAnsi="宋体" w:eastAsia="宋体" w:cs="宋体"/>
                <w:b/>
                <w:bCs w:val="0"/>
                <w:kern w:val="2"/>
                <w:sz w:val="24"/>
                <w:szCs w:val="24"/>
                <w:lang w:val="en-US" w:eastAsia="zh-CN" w:bidi="ar"/>
              </w:rPr>
              <w:t xml:space="preserve">食品通用检查项目（ </w:t>
            </w:r>
            <w:r>
              <w:rPr>
                <w:rFonts w:hint="eastAsia" w:ascii="宋体" w:hAnsi="宋体" w:cs="宋体"/>
                <w:b/>
                <w:bCs w:val="0"/>
                <w:kern w:val="2"/>
                <w:sz w:val="24"/>
                <w:szCs w:val="24"/>
                <w:lang w:val="en-US" w:eastAsia="zh-CN" w:bidi="ar"/>
              </w:rPr>
              <w:t>23</w:t>
            </w:r>
            <w:r>
              <w:rPr>
                <w:rFonts w:hint="eastAsia" w:ascii="宋体" w:hAnsi="宋体" w:eastAsia="宋体" w:cs="宋体"/>
                <w:b/>
                <w:bCs w:val="0"/>
                <w:kern w:val="2"/>
                <w:sz w:val="24"/>
                <w:szCs w:val="24"/>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一、经营资质</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*1</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lang w:val="en-US" w:eastAsia="zh-CN" w:bidi="ar"/>
              </w:rPr>
              <w:t>许可证合法有效，悬挂或摆放在经营场所的醒目位置。</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bookmarkStart w:id="6" w:name="OLE_LINK6"/>
            <w:r>
              <w:rPr>
                <w:rFonts w:hint="eastAsia" w:ascii="宋体" w:hAnsi="宋体" w:eastAsia="宋体" w:cs="宋体"/>
                <w:b w:val="0"/>
                <w:bCs/>
                <w:color w:val="000000"/>
                <w:kern w:val="0"/>
                <w:sz w:val="21"/>
                <w:szCs w:val="21"/>
                <w:highlight w:val="none"/>
                <w:lang w:val="en-US" w:eastAsia="zh-CN" w:bidi="ar"/>
              </w:rPr>
              <w:t>*</w:t>
            </w:r>
            <w:bookmarkEnd w:id="6"/>
            <w:r>
              <w:rPr>
                <w:rFonts w:hint="eastAsia" w:ascii="宋体" w:hAnsi="宋体" w:eastAsia="宋体" w:cs="宋体"/>
                <w:b w:val="0"/>
                <w:bCs/>
                <w:color w:val="000000"/>
                <w:kern w:val="0"/>
                <w:sz w:val="21"/>
                <w:szCs w:val="21"/>
                <w:lang w:val="en-US" w:eastAsia="zh-CN" w:bidi="ar"/>
              </w:rPr>
              <w:t>2</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highlight w:val="none"/>
                <w:lang w:val="en-US" w:eastAsia="zh-CN" w:bidi="ar"/>
              </w:rPr>
              <w:t>许可证载明的事项与实际经营相符合。</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二、经营条件</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3</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经营场所环境干净整洁，与污染源保持规定的距离。</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4</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经营场所与生活区分（隔）开，食品和非食品、生食和熟食、水产品与其他食品等销售、贮存区域分开设置。</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三、人员管理</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5</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建立并执行从业人员健康管理制度。</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bookmarkStart w:id="7" w:name="OLE_LINK7"/>
            <w:r>
              <w:rPr>
                <w:rFonts w:hint="eastAsia" w:ascii="宋体" w:hAnsi="宋体" w:eastAsia="宋体" w:cs="宋体"/>
                <w:b w:val="0"/>
                <w:bCs/>
                <w:color w:val="000000"/>
                <w:kern w:val="0"/>
                <w:sz w:val="21"/>
                <w:szCs w:val="21"/>
                <w:highlight w:val="none"/>
                <w:lang w:val="en-US" w:eastAsia="zh-CN" w:bidi="ar"/>
              </w:rPr>
              <w:t>*</w:t>
            </w:r>
            <w:bookmarkEnd w:id="7"/>
            <w:r>
              <w:rPr>
                <w:rFonts w:hint="eastAsia" w:ascii="宋体" w:hAnsi="宋体" w:eastAsia="宋体" w:cs="宋体"/>
                <w:b w:val="0"/>
                <w:bCs/>
                <w:color w:val="000000"/>
                <w:kern w:val="0"/>
                <w:sz w:val="21"/>
                <w:szCs w:val="21"/>
                <w:lang w:val="en-US" w:eastAsia="zh-CN"/>
              </w:rPr>
              <w:t>6</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从事接触直接入口食品工作的从业人员取得健康证明。</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四、经营过程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控制</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 w:val="0"/>
                <w:bCs/>
                <w:color w:val="000000"/>
                <w:kern w:val="0"/>
                <w:sz w:val="21"/>
                <w:szCs w:val="21"/>
                <w:highlight w:val="none"/>
                <w:lang w:val="en-US" w:eastAsia="zh-CN" w:bidi="ar"/>
              </w:rPr>
              <w:t>*7</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highlight w:val="none"/>
                <w:lang w:val="en-US" w:eastAsia="zh-CN" w:bidi="ar"/>
              </w:rPr>
              <w:t>建立食品安全自查制度，经营条件发生变化，不再符合食品安全要求的，立即采取有效措施整改。</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□是  □否</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lang w:val="en-US" w:eastAsia="zh-CN"/>
              </w:rPr>
              <w:t>8</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采购食品、食品添加剂查验供货者的许可证和食品、食品添加剂出厂检验合格证或者其他合格证明。</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□是  □否</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9</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按照食品标签标示的警示标志、说明或者注意事项的要求贮存和销售食品。</w:t>
            </w:r>
            <w:r>
              <w:rPr>
                <w:rFonts w:hint="eastAsia" w:ascii="宋体" w:hAnsi="宋体" w:eastAsia="宋体" w:cs="宋体"/>
                <w:color w:val="000000"/>
                <w:kern w:val="0"/>
                <w:sz w:val="21"/>
                <w:szCs w:val="21"/>
              </w:rPr>
              <w:t>对经营过程有温度、湿度要求的，配备相关设备</w:t>
            </w:r>
            <w:r>
              <w:rPr>
                <w:rFonts w:hint="eastAsia" w:ascii="宋体" w:hAnsi="宋体" w:eastAsia="宋体" w:cs="宋体"/>
                <w:color w:val="000000"/>
                <w:kern w:val="0"/>
                <w:sz w:val="21"/>
                <w:szCs w:val="21"/>
                <w:lang w:eastAsia="zh-CN"/>
              </w:rPr>
              <w:t>设施。</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10</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定期检查库存食品，及时清理变质或者超过保质期的食品，并且有记录。</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11</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食品贮存、加工、陈列及“三防”等设备设施运转正常，并保持清洁。</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12</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食品贮存隔墙离地距离在10厘米以上。</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cs="宋体"/>
                <w:b w:val="0"/>
                <w:bCs/>
                <w:color w:val="000000"/>
                <w:kern w:val="0"/>
                <w:sz w:val="21"/>
                <w:szCs w:val="21"/>
                <w:lang w:val="en-US" w:eastAsia="zh-CN"/>
              </w:rPr>
              <w:t>13</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现场抽查未发现超过保质期、感官性状异常的食品。</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14</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现场抽查</w:t>
            </w:r>
            <w:r>
              <w:rPr>
                <w:rFonts w:hint="eastAsia" w:ascii="宋体" w:hAnsi="宋体" w:eastAsia="宋体" w:cs="宋体"/>
                <w:color w:val="000000"/>
                <w:kern w:val="0"/>
                <w:sz w:val="21"/>
                <w:szCs w:val="21"/>
              </w:rPr>
              <w:t>大米检测报告含有重金属检验项目。</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cs="宋体"/>
                <w:b w:val="0"/>
                <w:bCs/>
                <w:color w:val="000000"/>
                <w:kern w:val="0"/>
                <w:sz w:val="21"/>
                <w:szCs w:val="21"/>
                <w:lang w:val="en-US" w:eastAsia="zh-CN"/>
              </w:rPr>
              <w:t>15</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现场抽查未发现经营其他涉嫌违反《食品安全法》有关规定的食品。</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16</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center"/>
              <w:outlineLvl w:val="9"/>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 w:val="0"/>
                <w:bCs/>
                <w:color w:val="000000"/>
                <w:kern w:val="0"/>
                <w:sz w:val="21"/>
                <w:szCs w:val="21"/>
              </w:rPr>
              <w:t>运输和装卸食品的容器、工具和设备安全、无害，保持清洁，并符合保证食品安全所需的温度、湿度等特殊要求。</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cs="宋体"/>
                <w:b w:val="0"/>
                <w:bCs/>
                <w:color w:val="000000"/>
                <w:kern w:val="0"/>
                <w:sz w:val="21"/>
                <w:szCs w:val="21"/>
                <w:lang w:val="en-US" w:eastAsia="zh-CN"/>
              </w:rPr>
              <w:t>17</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outlineLvl w:val="9"/>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 w:val="0"/>
                <w:bCs/>
                <w:color w:val="000000"/>
                <w:kern w:val="0"/>
                <w:sz w:val="21"/>
                <w:szCs w:val="21"/>
              </w:rPr>
              <w:t>食品不得与有毒、有害物品一同贮存、运输。</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0"/>
                <w:szCs w:val="20"/>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18</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按要求停止销售、召回、报告不符合食品安全标准或者证明可能危害人体健康的食品。</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五、标签与广告</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19</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抽查的预包装食品、食品添加剂的包装上有标签，标签标明的内容符合食品安全法等法律法规的规定。</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20</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抽查的食品标签、说明书，</w:t>
            </w:r>
            <w:r>
              <w:rPr>
                <w:rFonts w:hint="eastAsia" w:ascii="宋体" w:hAnsi="宋体" w:eastAsia="宋体" w:cs="宋体"/>
                <w:b w:val="0"/>
                <w:bCs/>
                <w:color w:val="000000"/>
                <w:kern w:val="0"/>
                <w:sz w:val="21"/>
                <w:szCs w:val="21"/>
                <w:highlight w:val="none"/>
                <w:lang w:val="en-US" w:eastAsia="zh-CN" w:bidi="ar"/>
              </w:rPr>
              <w:t>经营场所设置或摆放的食品广告（含宣传资料）的内容</w:t>
            </w:r>
            <w:r>
              <w:rPr>
                <w:rFonts w:hint="eastAsia" w:ascii="宋体" w:hAnsi="宋体" w:eastAsia="宋体" w:cs="宋体"/>
                <w:b w:val="0"/>
                <w:bCs/>
                <w:color w:val="000000"/>
                <w:kern w:val="0"/>
                <w:sz w:val="21"/>
                <w:szCs w:val="21"/>
                <w:lang w:val="en-US" w:eastAsia="zh-CN" w:bidi="ar"/>
              </w:rPr>
              <w:t>未涉及疾病预防、治疗功能。</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21</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贮存和销售散装食品的，在散装食品的容器、外包装上标明食品的名称、生产日期或者生产批号、保质期、生产者名称、地址及联系方式等内容。</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1.5</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22</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抽查的转基因食品按照规定显著标示。</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rPr>
            </w:pPr>
            <w:r>
              <w:rPr>
                <w:rFonts w:hint="eastAsia" w:ascii="宋体" w:hAnsi="宋体" w:eastAsia="宋体" w:cs="宋体"/>
                <w:b w:val="0"/>
                <w:bCs/>
                <w:sz w:val="21"/>
                <w:szCs w:val="21"/>
                <w:lang w:eastAsia="zh-CN"/>
              </w:rPr>
              <w:t>六、其他</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kern w:val="0"/>
                <w:sz w:val="21"/>
                <w:szCs w:val="21"/>
                <w:lang w:val="en-US" w:eastAsia="zh-CN"/>
              </w:rPr>
              <w:t>23</w:t>
            </w:r>
          </w:p>
        </w:tc>
        <w:tc>
          <w:tcPr>
            <w:tcW w:w="76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color w:val="000000"/>
                <w:kern w:val="0"/>
                <w:sz w:val="21"/>
                <w:szCs w:val="21"/>
              </w:rPr>
              <w:t>食品经营者张贴并保持上次监督检查结果记录。</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kern w:val="0"/>
                <w:sz w:val="21"/>
                <w:szCs w:val="21"/>
                <w:lang w:val="en-US" w:eastAsia="zh-CN" w:bidi="ar"/>
              </w:rPr>
              <w:t>1</w:t>
            </w:r>
          </w:p>
        </w:tc>
        <w:tc>
          <w:tcPr>
            <w:tcW w:w="12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870" w:type="dxa"/>
            <w:gridSpan w:val="10"/>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r>
              <w:rPr>
                <w:rFonts w:hint="eastAsia" w:ascii="宋体" w:hAnsi="宋体" w:eastAsia="宋体" w:cs="宋体"/>
                <w:b/>
                <w:bCs w:val="0"/>
                <w:kern w:val="2"/>
                <w:sz w:val="24"/>
                <w:szCs w:val="24"/>
                <w:lang w:val="en-US" w:eastAsia="zh-CN" w:bidi="ar"/>
              </w:rPr>
              <w:t>食品特殊检查项目（</w:t>
            </w:r>
            <w:r>
              <w:rPr>
                <w:rFonts w:hint="eastAsia" w:ascii="宋体" w:hAnsi="宋体" w:cs="宋体"/>
                <w:b/>
                <w:bCs w:val="0"/>
                <w:kern w:val="2"/>
                <w:sz w:val="24"/>
                <w:szCs w:val="24"/>
                <w:lang w:val="en-US" w:eastAsia="zh-CN" w:bidi="ar"/>
              </w:rPr>
              <w:t>18</w:t>
            </w:r>
            <w:r>
              <w:rPr>
                <w:rFonts w:hint="eastAsia" w:ascii="宋体" w:hAnsi="宋体" w:eastAsia="宋体" w:cs="宋体"/>
                <w:b/>
                <w:bCs w:val="0"/>
                <w:kern w:val="2"/>
                <w:sz w:val="24"/>
                <w:szCs w:val="24"/>
                <w:lang w:val="en-US" w:eastAsia="zh-CN" w:bidi="ar"/>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七、食用农产品</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24</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建立食用农产品进货查验记录制度，如实记录所采购食品的名称、规格、数量、生产日期或者生产批号、保质期、进货日期以及供货者名称、地址、联系方式等内容，并保存相关凭证。</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center"/>
              <w:outlineLvl w:val="9"/>
              <w:rPr>
                <w:rFonts w:hint="eastAsia" w:ascii="宋体" w:hAnsi="宋体" w:eastAsia="宋体" w:cs="宋体"/>
                <w:b w:val="0"/>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lang w:val="en-US" w:eastAsia="zh-CN"/>
              </w:rPr>
              <w:t>25</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color w:val="000000"/>
                <w:kern w:val="0"/>
                <w:sz w:val="21"/>
                <w:szCs w:val="21"/>
                <w:highlight w:val="none"/>
                <w:lang w:val="en-US" w:eastAsia="zh-CN" w:bidi="ar"/>
              </w:rPr>
              <w:t>抽查按照有关规定需要检疫、检验的肉类，有检疫合格证明、肉类检验合格证明等证明文件。</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宋体" w:hAnsi="宋体" w:eastAsia="宋体" w:cs="宋体"/>
                <w:b w:val="0"/>
                <w:bCs/>
                <w:color w:val="000000"/>
                <w:kern w:val="0"/>
                <w:sz w:val="21"/>
                <w:szCs w:val="21"/>
                <w:lang w:val="en-US" w:eastAsia="zh-CN"/>
              </w:rPr>
            </w:pPr>
            <w:r>
              <w:rPr>
                <w:rFonts w:hint="eastAsia" w:ascii="宋体" w:hAnsi="宋体" w:eastAsia="宋体" w:cs="宋体"/>
                <w:color w:val="000000"/>
                <w:kern w:val="0"/>
                <w:sz w:val="21"/>
                <w:szCs w:val="21"/>
                <w:lang w:val="en-US" w:eastAsia="zh-CN" w:bidi="ar"/>
              </w:rPr>
              <w:t>2</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八、进口食品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26</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抽查的进口预包装食品有中文标签，并载明食品的原产地以及境内代理商的名称、地址、联系方式。</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color w:val="000000"/>
                <w:kern w:val="0"/>
                <w:sz w:val="21"/>
                <w:szCs w:val="21"/>
                <w:lang w:val="en-US" w:eastAsia="zh-CN"/>
              </w:rPr>
              <w:t>27</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抽查的进口食品有国家海关部门出具的入境货物检验检疫证明。</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restart"/>
            <w:tcBorders>
              <w:top w:val="nil"/>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九、特殊食品</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28</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特殊食品实行专区专柜销售，并按规定设立提示牌。保健食品经营场所显著位置标注“保健食品不是药物，不能代替药物治疗疾病”等消费提示信息。</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29</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抽查的保健食品广告内容经省级监管部门审查批准，取得保健食品广告批准文号，声明“本品不能代替药物”。</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30</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抽查的专供婴幼儿和其他特定人群的主辅食品，其标签标明主要营养成分及其含量。</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31</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lang w:val="en-US" w:eastAsia="zh-CN" w:bidi="ar"/>
              </w:rPr>
              <w:t>经营的国产婴幼儿配方乳粉有批次全项目检验报告。</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20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836" w:hRule="atLeast"/>
        </w:trPr>
        <w:tc>
          <w:tcPr>
            <w:tcW w:w="169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eastAsia="zh-CN"/>
              </w:rPr>
              <w:t>十、</w:t>
            </w:r>
            <w:r>
              <w:rPr>
                <w:rFonts w:hint="eastAsia" w:ascii="宋体" w:hAnsi="宋体" w:eastAsia="宋体" w:cs="宋体"/>
                <w:b w:val="0"/>
                <w:bCs/>
                <w:color w:val="000000"/>
                <w:kern w:val="0"/>
                <w:sz w:val="21"/>
                <w:szCs w:val="21"/>
              </w:rPr>
              <w:t>网络经营</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32</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center"/>
              <w:outlineLvl w:val="9"/>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 w:val="0"/>
                <w:bCs/>
                <w:color w:val="000000"/>
                <w:kern w:val="0"/>
                <w:sz w:val="21"/>
                <w:szCs w:val="21"/>
              </w:rPr>
              <w:t>入网食品经营者在其经营活动主页面显著位置公示其食品经营许可证。</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33</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center"/>
              <w:outlineLvl w:val="9"/>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 w:val="0"/>
                <w:bCs/>
                <w:color w:val="000000"/>
                <w:kern w:val="0"/>
                <w:sz w:val="21"/>
                <w:szCs w:val="21"/>
              </w:rPr>
              <w:t>入网食品经营者销售特殊医学用途配方食品中非特定全营养配方食品、婴幼儿配方乳粉、保健食品，应当公示产品注册证书或者备案凭证。</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restart"/>
            <w:tcBorders>
              <w:top w:val="nil"/>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bidi="ar"/>
              </w:rPr>
              <w:t>十一、现场制售</w:t>
            </w: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34</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操作人员穿戴清洁的工作衣帽，双手清洁，保持个人卫生。</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35</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食品操作区域保持清洁、卫生。</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36</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食品原料、半成品和成品盛放、贮存时相互分开。</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1.5</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37</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食品添加剂由专人负责保管、领用、登记，并有相关记录。</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1.5</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38</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bidi="ar"/>
              </w:rPr>
              <w:t>操作专间温度控制在25度以下，消毒记录完整,无存放与食品加工无关物品情况。</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1.5</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kern w:val="0"/>
                <w:sz w:val="21"/>
                <w:szCs w:val="21"/>
                <w:highlight w:val="none"/>
                <w:lang w:val="en-US" w:eastAsia="zh-CN"/>
              </w:rPr>
              <w:t>39</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bidi="ar"/>
              </w:rPr>
              <w:t>用水符合生活饮用水标准。直接接触成品的用水，应经水净化设施处理或使用直接饮用水。</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40</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餐厨用具及盛放直接入口食品的容器无毒无害，使用前后按要求进行清洗消毒。</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 w:hRule="atLeast"/>
        </w:trPr>
        <w:tc>
          <w:tcPr>
            <w:tcW w:w="169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outlineLvl w:val="9"/>
              <w:rPr>
                <w:rFonts w:hint="eastAsia" w:ascii="宋体" w:hAnsi="宋体" w:eastAsia="宋体" w:cs="宋体"/>
                <w:b w:val="0"/>
                <w:bCs/>
                <w:sz w:val="21"/>
                <w:szCs w:val="21"/>
              </w:rPr>
            </w:pPr>
          </w:p>
        </w:tc>
        <w:tc>
          <w:tcPr>
            <w:tcW w:w="73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rPr>
            </w:pPr>
            <w:r>
              <w:rPr>
                <w:rFonts w:hint="eastAsia" w:ascii="宋体" w:hAnsi="宋体" w:eastAsia="宋体" w:cs="宋体"/>
                <w:b w:val="0"/>
                <w:bCs/>
                <w:color w:val="000000"/>
                <w:kern w:val="0"/>
                <w:sz w:val="21"/>
                <w:szCs w:val="21"/>
                <w:highlight w:val="none"/>
                <w:lang w:val="en-US" w:eastAsia="zh-CN" w:bidi="ar"/>
              </w:rPr>
              <w:t>*</w:t>
            </w:r>
            <w:r>
              <w:rPr>
                <w:rFonts w:hint="eastAsia" w:ascii="宋体" w:hAnsi="宋体" w:eastAsia="宋体" w:cs="宋体"/>
                <w:b w:val="0"/>
                <w:bCs/>
                <w:kern w:val="0"/>
                <w:sz w:val="21"/>
                <w:szCs w:val="21"/>
                <w:lang w:val="en-US" w:eastAsia="zh-CN"/>
              </w:rPr>
              <w:t>41</w:t>
            </w:r>
          </w:p>
        </w:tc>
        <w:tc>
          <w:tcPr>
            <w:tcW w:w="76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center"/>
              <w:outlineLvl w:val="9"/>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不存在加工使用不符合食品安全标准的食品及原料的情况。</w:t>
            </w:r>
          </w:p>
        </w:tc>
        <w:tc>
          <w:tcPr>
            <w:tcW w:w="15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bidi="ar"/>
              </w:rPr>
              <w:t>□是  □否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□合理缺项</w:t>
            </w:r>
          </w:p>
        </w:tc>
        <w:tc>
          <w:tcPr>
            <w:tcW w:w="105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center"/>
              <w:outlineLvl w:val="9"/>
              <w:rPr>
                <w:rFonts w:hint="eastAsia" w:ascii="宋体" w:hAnsi="宋体" w:eastAsia="宋体" w:cs="宋体"/>
                <w:b w:val="0"/>
                <w:bCs/>
                <w:kern w:val="0"/>
                <w:sz w:val="21"/>
                <w:szCs w:val="21"/>
                <w:lang w:val="en-US" w:eastAsia="zh-CN" w:bidi="ar"/>
              </w:rPr>
            </w:pPr>
            <w:r>
              <w:rPr>
                <w:rFonts w:hint="eastAsia" w:ascii="宋体" w:hAnsi="宋体" w:eastAsia="宋体" w:cs="宋体"/>
                <w:b w:val="0"/>
                <w:bCs/>
                <w:kern w:val="0"/>
                <w:sz w:val="21"/>
                <w:szCs w:val="21"/>
                <w:lang w:val="en-US" w:eastAsia="zh-CN" w:bidi="ar"/>
              </w:rPr>
              <w:t>2</w:t>
            </w:r>
          </w:p>
        </w:tc>
        <w:tc>
          <w:tcPr>
            <w:tcW w:w="11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outlineLvl w:val="9"/>
              <w:rPr>
                <w:rFonts w:hint="eastAsia" w:ascii="宋体" w:hAnsi="宋体" w:eastAsia="宋体" w:cs="宋体"/>
                <w:b w:val="0"/>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854" w:hRule="atLeast"/>
        </w:trPr>
        <w:tc>
          <w:tcPr>
            <w:tcW w:w="1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本次动态风险因素量化分值</w:t>
            </w:r>
          </w:p>
        </w:tc>
        <w:tc>
          <w:tcPr>
            <w:tcW w:w="12161"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707" w:hRule="atLeast"/>
        </w:trPr>
        <w:tc>
          <w:tcPr>
            <w:tcW w:w="1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评级人员签名</w:t>
            </w:r>
          </w:p>
        </w:tc>
        <w:tc>
          <w:tcPr>
            <w:tcW w:w="12161"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70" w:hRule="atLeast"/>
        </w:trPr>
        <w:tc>
          <w:tcPr>
            <w:tcW w:w="1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备　注</w:t>
            </w:r>
          </w:p>
        </w:tc>
        <w:tc>
          <w:tcPr>
            <w:tcW w:w="12161"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1.检查评价为“否”的，予以计分；2.选择合理缺项的，不计分；3.</w:t>
            </w:r>
            <w:r>
              <w:rPr>
                <w:rFonts w:hint="eastAsia" w:ascii="宋体" w:hAnsi="宋体" w:eastAsia="宋体" w:cs="宋体"/>
                <w:b w:val="0"/>
                <w:bCs/>
                <w:color w:val="000000"/>
                <w:kern w:val="0"/>
                <w:sz w:val="21"/>
                <w:szCs w:val="21"/>
                <w:highlight w:val="none"/>
                <w:lang w:val="en-US" w:eastAsia="zh-CN" w:bidi="ar"/>
              </w:rPr>
              <w:t>*为重点项（共12项），其他为一般项（共29项）；4.</w:t>
            </w:r>
            <w:r>
              <w:rPr>
                <w:rFonts w:hint="eastAsia" w:ascii="宋体" w:hAnsi="宋体" w:eastAsia="宋体" w:cs="宋体"/>
                <w:b w:val="0"/>
                <w:bCs/>
                <w:kern w:val="2"/>
                <w:sz w:val="21"/>
                <w:szCs w:val="21"/>
                <w:lang w:val="en-US" w:eastAsia="zh-CN" w:bidi="ar"/>
              </w:rPr>
              <w:t>如无第七至十一项经营内容的，无需填写相关内容；5.开展日常监督检查时，本表应结合《</w:t>
            </w:r>
            <w:r>
              <w:rPr>
                <w:rFonts w:hint="eastAsia" w:ascii="宋体" w:hAnsi="宋体" w:eastAsia="宋体" w:cs="宋体"/>
                <w:sz w:val="21"/>
                <w:szCs w:val="21"/>
              </w:rPr>
              <w:t>广东省食品药品监督管理局办公室关于印发</w:t>
            </w:r>
            <w:r>
              <w:rPr>
                <w:rFonts w:hint="eastAsia" w:ascii="宋体" w:hAnsi="宋体" w:eastAsia="宋体" w:cs="宋体"/>
                <w:sz w:val="21"/>
                <w:szCs w:val="21"/>
                <w:lang w:val="en-US" w:eastAsia="zh-CN"/>
              </w:rPr>
              <w:t>&lt;</w:t>
            </w:r>
            <w:r>
              <w:rPr>
                <w:rFonts w:hint="eastAsia" w:ascii="宋体" w:hAnsi="宋体" w:eastAsia="宋体" w:cs="宋体"/>
                <w:sz w:val="21"/>
                <w:szCs w:val="21"/>
              </w:rPr>
              <w:t>食品经营日常监督检查要点表</w:t>
            </w:r>
            <w:r>
              <w:rPr>
                <w:rFonts w:hint="eastAsia" w:ascii="宋体" w:hAnsi="宋体" w:eastAsia="宋体" w:cs="宋体"/>
                <w:sz w:val="21"/>
                <w:szCs w:val="21"/>
                <w:lang w:val="en-US" w:eastAsia="zh-CN"/>
              </w:rPr>
              <w:t>&gt;&lt;</w:t>
            </w:r>
            <w:r>
              <w:rPr>
                <w:rFonts w:hint="eastAsia" w:ascii="宋体" w:hAnsi="宋体" w:eastAsia="宋体" w:cs="宋体"/>
                <w:sz w:val="21"/>
                <w:szCs w:val="21"/>
              </w:rPr>
              <w:t>食品经营日常监督检查结果记录表</w:t>
            </w:r>
            <w:r>
              <w:rPr>
                <w:rFonts w:hint="eastAsia" w:ascii="宋体" w:hAnsi="宋体" w:eastAsia="宋体" w:cs="宋体"/>
                <w:sz w:val="21"/>
                <w:szCs w:val="21"/>
                <w:lang w:val="en-US" w:eastAsia="zh-CN"/>
              </w:rPr>
              <w:t>&gt;</w:t>
            </w:r>
            <w:r>
              <w:rPr>
                <w:rFonts w:hint="eastAsia" w:ascii="宋体" w:hAnsi="宋体" w:eastAsia="宋体" w:cs="宋体"/>
                <w:sz w:val="21"/>
                <w:szCs w:val="21"/>
              </w:rPr>
              <w:t>的通知</w:t>
            </w:r>
            <w:r>
              <w:rPr>
                <w:rFonts w:hint="eastAsia" w:ascii="宋体" w:hAnsi="宋体" w:eastAsia="宋体" w:cs="宋体"/>
                <w:b w:val="0"/>
                <w:bCs/>
                <w:kern w:val="2"/>
                <w:sz w:val="21"/>
                <w:szCs w:val="21"/>
                <w:lang w:val="en-US" w:eastAsia="zh-CN" w:bidi="ar"/>
              </w:rPr>
              <w:t>》中的《告知页》和</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食品经营日常监督检查结果记录表</w:t>
            </w:r>
            <w:r>
              <w:rPr>
                <w:rFonts w:hint="eastAsia" w:ascii="宋体" w:hAnsi="宋体" w:eastAsia="宋体" w:cs="宋体"/>
                <w:color w:val="000000"/>
                <w:kern w:val="0"/>
                <w:sz w:val="21"/>
                <w:szCs w:val="21"/>
                <w:lang w:eastAsia="zh-CN"/>
              </w:rPr>
              <w:t>》使用。</w:t>
            </w:r>
          </w:p>
        </w:tc>
      </w:tr>
    </w:tbl>
    <w:p>
      <w:pPr>
        <w:rPr>
          <w:rFonts w:hint="default" w:ascii="仿宋_GB2312" w:hAnsi="仿宋_GB2312" w:eastAsia="仿宋_GB2312" w:cs="仿宋_GB2312"/>
          <w:kern w:val="2"/>
          <w:sz w:val="30"/>
          <w:szCs w:val="30"/>
          <w:lang w:val="en-US" w:eastAsia="zh-CN" w:bidi="ar-SA"/>
        </w:rPr>
        <w:sectPr>
          <w:footerReference r:id="rId3" w:type="default"/>
          <w:pgSz w:w="16838" w:h="11906" w:orient="landscape"/>
          <w:pgMar w:top="1800" w:right="1440" w:bottom="1800" w:left="1440" w:header="851" w:footer="992" w:gutter="0"/>
          <w:pgNumType w:fmt="decimal"/>
          <w:cols w:space="425" w:num="1"/>
          <w:docGrid w:type="lines" w:linePitch="312" w:charSpace="0"/>
        </w:sectPr>
      </w:pPr>
    </w:p>
    <w:p>
      <w:pPr>
        <w:rPr>
          <w:rFonts w:hint="default" w:ascii="仿宋_GB2312" w:hAnsi="仿宋_GB2312" w:eastAsia="仿宋_GB2312" w:cs="仿宋_GB2312"/>
          <w:kern w:val="2"/>
          <w:sz w:val="30"/>
          <w:szCs w:val="30"/>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00621"/>
    <w:rsid w:val="0195029B"/>
    <w:rsid w:val="04B01336"/>
    <w:rsid w:val="06BC53E5"/>
    <w:rsid w:val="15594989"/>
    <w:rsid w:val="1D4B3448"/>
    <w:rsid w:val="29423E96"/>
    <w:rsid w:val="297237C0"/>
    <w:rsid w:val="2D00323B"/>
    <w:rsid w:val="304718C7"/>
    <w:rsid w:val="39D32531"/>
    <w:rsid w:val="56420AD1"/>
    <w:rsid w:val="60C60214"/>
    <w:rsid w:val="6802002A"/>
    <w:rsid w:val="6CC00621"/>
    <w:rsid w:val="76FE30EB"/>
    <w:rsid w:val="77EF6621"/>
    <w:rsid w:val="79D303B4"/>
    <w:rsid w:val="79D556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0"/>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3 Char"/>
    <w:link w:val="4"/>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sm\Desktop\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2020-03-25T08:37:00Z</dcterms:created>
  <dc:creator>大象无形</dc:creator>
  <cp:lastModifiedBy>傅翼</cp:lastModifiedBy>
  <dcterms:modified xsi:type="dcterms:W3CDTF">2021-04-01T06:58:53Z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