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（一）水分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w:t>
      </w:r>
      <w:bookmarkStart w:id="0" w:name="_GoBack"/>
      <w:bookmarkEnd w:id="0"/>
      <w:r>
        <w:rPr>
          <w:rFonts w:hint="eastAsia" w:ascii="仿宋_GB2312" w:hAnsi="宋体" w:eastAsia="仿宋_GB2312" w:cs="宋体"/>
          <w:kern w:val="0"/>
          <w:sz w:val="32"/>
          <w:szCs w:val="32"/>
        </w:rPr>
        <w:t>对水分含量有明确的限值要求，水分高低反映产品的含水量。合理的水分控制，可避免产品的功效成分或营养物质分解、酶解变质、霉变等，有助于保持产品质量稳定</w:t>
      </w:r>
      <w:r>
        <w:rPr>
          <w:rFonts w:hint="eastAsia" w:ascii="仿宋_GB2312" w:hAnsi="宋体" w:cs="宋体"/>
          <w:kern w:val="0"/>
          <w:sz w:val="32"/>
          <w:szCs w:val="32"/>
          <w:lang w:eastAsia="zh-CN"/>
        </w:rPr>
        <w:t>。</w:t>
      </w:r>
      <w:r>
        <w:rPr>
          <w:rFonts w:hint="eastAsia" w:ascii="仿宋_GB2312" w:hAnsi="宋体" w:eastAsia="仿宋_GB2312" w:cs="宋体"/>
          <w:kern w:val="0"/>
          <w:sz w:val="32"/>
          <w:szCs w:val="32"/>
        </w:rPr>
        <w:t>《食品安全国家标准 食用菌及其制品》（GB 7096-</w:t>
      </w:r>
      <w:r>
        <w:rPr>
          <w:rFonts w:hint="eastAsia" w:ascii="仿宋_GB2312" w:hAnsi="宋体" w:cs="宋体"/>
          <w:kern w:val="0"/>
          <w:sz w:val="32"/>
          <w:szCs w:val="32"/>
          <w:lang w:val="en-US" w:eastAsia="zh-CN"/>
        </w:rPr>
        <w:t xml:space="preserve"> </w:t>
      </w:r>
      <w:r>
        <w:rPr>
          <w:rFonts w:hint="eastAsia" w:ascii="仿宋_GB2312" w:hAnsi="宋体" w:eastAsia="仿宋_GB2312" w:cs="宋体"/>
          <w:kern w:val="0"/>
          <w:sz w:val="32"/>
          <w:szCs w:val="32"/>
        </w:rPr>
        <w:t>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（二）</w:t>
      </w:r>
      <w:r>
        <w:rPr>
          <w:rFonts w:ascii="楷体_GB2312" w:hAnsi="宋体" w:eastAsia="楷体_GB2312" w:cs="宋体"/>
          <w:b/>
          <w:kern w:val="0"/>
          <w:sz w:val="32"/>
          <w:szCs w:val="32"/>
        </w:rPr>
        <w:t>过氧化值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lang w:val="zh-CN"/>
        </w:rPr>
      </w:pPr>
      <w:r>
        <w:rPr>
          <w:rFonts w:ascii="仿宋_GB2312" w:hAnsi="仿宋" w:eastAsia="仿宋_GB2312" w:cs="宋体"/>
          <w:kern w:val="0"/>
          <w:sz w:val="32"/>
          <w:szCs w:val="32"/>
          <w:lang w:val="zh-CN"/>
        </w:rPr>
        <w:t>过氧化值（以脂肪计）主要反映食品中油脂是否氧化变质。随着油脂氧化，过氧化值会逐步升高，虽一般不会对人体的健康产生损害，但严重时会导致肠胃不适、腹泻等症状。</w:t>
      </w:r>
      <w:r>
        <w:rPr>
          <w:rFonts w:hint="eastAsia" w:ascii="仿宋_GB2312" w:hAnsi="仿宋" w:eastAsia="仿宋_GB2312" w:cs="仿宋"/>
          <w:sz w:val="32"/>
          <w:szCs w:val="32"/>
        </w:rPr>
        <w:t>《食品安全国家标准 腌腊肉制品》（GB 2730-2015）中规定，腌腊肉制品的过氧化值(以脂肪计)应≤0.5g/100g。</w:t>
      </w:r>
      <w:r>
        <w:rPr>
          <w:rFonts w:ascii="仿宋_GB2312" w:hAnsi="仿宋" w:eastAsia="仿宋_GB2312" w:cs="宋体"/>
          <w:kern w:val="0"/>
          <w:sz w:val="32"/>
          <w:szCs w:val="32"/>
          <w:lang w:val="zh-CN"/>
        </w:rPr>
        <w:t>过氧化值超标的原因，可能</w:t>
      </w:r>
      <w:r>
        <w:rPr>
          <w:rFonts w:ascii="仿宋_GB2312" w:hAnsi="仿宋" w:eastAsia="仿宋_GB2312" w:cs="宋体"/>
          <w:color w:val="auto"/>
          <w:kern w:val="0"/>
          <w:sz w:val="32"/>
          <w:szCs w:val="32"/>
          <w:lang w:val="zh-CN"/>
        </w:rPr>
        <w:t>是</w:t>
      </w:r>
      <w:r>
        <w:rPr>
          <w:rFonts w:hint="eastAsia" w:ascii="仿宋_GB2312" w:hAnsi="仿宋" w:cs="宋体"/>
          <w:color w:val="auto"/>
          <w:kern w:val="0"/>
          <w:sz w:val="32"/>
          <w:szCs w:val="32"/>
          <w:lang w:val="zh-CN"/>
        </w:rPr>
        <w:t>产品因</w:t>
      </w:r>
      <w:r>
        <w:rPr>
          <w:rFonts w:ascii="仿宋_GB2312" w:hAnsi="仿宋" w:eastAsia="仿宋_GB2312" w:cs="宋体"/>
          <w:color w:val="auto"/>
          <w:kern w:val="0"/>
          <w:sz w:val="32"/>
          <w:szCs w:val="32"/>
          <w:lang w:val="zh-CN"/>
        </w:rPr>
        <w:t>储存不当导致</w:t>
      </w:r>
      <w:r>
        <w:rPr>
          <w:rFonts w:hint="eastAsia" w:ascii="仿宋_GB2312" w:hAnsi="仿宋" w:cs="宋体"/>
          <w:color w:val="auto"/>
          <w:kern w:val="0"/>
          <w:sz w:val="32"/>
          <w:szCs w:val="32"/>
          <w:lang w:val="zh-CN"/>
        </w:rPr>
        <w:t>其中的</w:t>
      </w:r>
      <w:r>
        <w:rPr>
          <w:rFonts w:ascii="仿宋_GB2312" w:hAnsi="仿宋" w:eastAsia="仿宋_GB2312" w:cs="宋体"/>
          <w:color w:val="auto"/>
          <w:kern w:val="0"/>
          <w:sz w:val="32"/>
          <w:szCs w:val="32"/>
          <w:lang w:val="zh-CN"/>
        </w:rPr>
        <w:t>脂肪氧化</w:t>
      </w:r>
      <w:r>
        <w:rPr>
          <w:rFonts w:hint="eastAsia" w:ascii="仿宋_GB2312" w:hAnsi="仿宋" w:cs="宋体"/>
          <w:color w:val="auto"/>
          <w:kern w:val="0"/>
          <w:sz w:val="32"/>
          <w:szCs w:val="32"/>
          <w:lang w:val="zh-CN"/>
        </w:rPr>
        <w:t>或</w:t>
      </w:r>
      <w:r>
        <w:rPr>
          <w:rFonts w:ascii="仿宋_GB2312" w:hAnsi="仿宋" w:eastAsia="仿宋_GB2312" w:cs="宋体"/>
          <w:color w:val="auto"/>
          <w:kern w:val="0"/>
          <w:sz w:val="32"/>
          <w:szCs w:val="32"/>
          <w:lang w:val="zh-CN"/>
        </w:rPr>
        <w:t>生产用油变质，或</w:t>
      </w:r>
      <w:r>
        <w:rPr>
          <w:rFonts w:hint="eastAsia" w:ascii="仿宋_GB2312" w:hAnsi="仿宋" w:cs="宋体"/>
          <w:color w:val="auto"/>
          <w:kern w:val="0"/>
          <w:sz w:val="32"/>
          <w:szCs w:val="32"/>
          <w:lang w:val="zh-CN"/>
        </w:rPr>
        <w:t>因产品</w:t>
      </w:r>
      <w:r>
        <w:rPr>
          <w:rFonts w:ascii="仿宋_GB2312" w:hAnsi="仿宋" w:eastAsia="仿宋_GB2312" w:cs="宋体"/>
          <w:color w:val="auto"/>
          <w:kern w:val="0"/>
          <w:sz w:val="32"/>
          <w:szCs w:val="32"/>
          <w:lang w:val="zh-CN"/>
        </w:rPr>
        <w:t>漏气、储存过程中环境条件控制不当</w:t>
      </w:r>
      <w:r>
        <w:rPr>
          <w:rFonts w:hint="eastAsia" w:ascii="仿宋_GB2312" w:hAnsi="仿宋" w:cs="宋体"/>
          <w:color w:val="auto"/>
          <w:kern w:val="0"/>
          <w:sz w:val="32"/>
          <w:szCs w:val="32"/>
          <w:lang w:val="zh-CN"/>
        </w:rPr>
        <w:t>而</w:t>
      </w:r>
      <w:r>
        <w:rPr>
          <w:rFonts w:ascii="仿宋_GB2312" w:hAnsi="仿宋" w:eastAsia="仿宋_GB2312" w:cs="宋体"/>
          <w:color w:val="auto"/>
          <w:kern w:val="0"/>
          <w:sz w:val="32"/>
          <w:szCs w:val="32"/>
          <w:lang w:val="zh-CN"/>
        </w:rPr>
        <w:t>导致。</w:t>
      </w:r>
    </w:p>
    <w:p>
      <w:pPr>
        <w:rPr>
          <w:rFonts w:ascii="楷体_GB2312" w:hAnsi="宋体" w:eastAsia="楷体_GB2312" w:cs="宋体"/>
          <w:b/>
          <w:kern w:val="0"/>
          <w:sz w:val="32"/>
          <w:szCs w:val="32"/>
        </w:rPr>
      </w:pPr>
      <w:r>
        <w:rPr>
          <w:rFonts w:hint="eastAsia" w:ascii="楷体_GB2312" w:hAnsi="楷体" w:eastAsia="楷体_GB2312" w:cs="宋体"/>
          <w:b/>
          <w:color w:val="000000"/>
          <w:kern w:val="0"/>
          <w:sz w:val="32"/>
          <w:szCs w:val="32"/>
          <w:lang w:eastAsia="zh-CN"/>
        </w:rPr>
        <w:t>（三）</w:t>
      </w:r>
      <w:r>
        <w:rPr>
          <w:rFonts w:hint="eastAsia" w:ascii="楷体_GB2312" w:hAnsi="宋体" w:eastAsia="楷体_GB2312" w:cs="宋体"/>
          <w:b/>
          <w:kern w:val="0"/>
          <w:sz w:val="32"/>
          <w:szCs w:val="32"/>
        </w:rPr>
        <w:t>甜蜜素</w:t>
      </w:r>
    </w:p>
    <w:p>
      <w:pPr>
        <w:pStyle w:val="17"/>
        <w:spacing w:line="560" w:lineRule="exact"/>
        <w:ind w:firstLine="640"/>
        <w:rPr>
          <w:rFonts w:ascii="仿宋_GB2312" w:hAnsi="仿宋" w:eastAsia="仿宋_GB2312"/>
          <w:sz w:val="32"/>
          <w:szCs w:val="32"/>
        </w:rPr>
      </w:pPr>
      <w:r>
        <w:rPr>
          <w:rFonts w:hint="eastAsia" w:ascii="仿宋_GB2312" w:hAnsi="仿宋" w:eastAsia="仿宋_GB2312"/>
          <w:sz w:val="32"/>
          <w:szCs w:val="32"/>
        </w:rPr>
        <w:t>甜蜜素化学名称为环己基</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"http://baike.sogou.com/lemma/ShowInnerLink.htm?lemmaId=5618812" </w:instrText>
      </w:r>
      <w:r>
        <w:rPr>
          <w:rFonts w:hint="eastAsia" w:ascii="仿宋_GB2312" w:eastAsia="仿宋_GB2312"/>
          <w:sz w:val="32"/>
          <w:szCs w:val="32"/>
        </w:rPr>
        <w:fldChar w:fldCharType="separate"/>
      </w:r>
      <w:r>
        <w:rPr>
          <w:rFonts w:hint="eastAsia" w:ascii="仿宋_GB2312" w:hAnsi="仿宋" w:eastAsia="仿宋_GB2312"/>
          <w:sz w:val="32"/>
          <w:szCs w:val="32"/>
        </w:rPr>
        <w:t>氨基磺酸</w:t>
      </w:r>
      <w:r>
        <w:rPr>
          <w:rFonts w:hint="eastAsia" w:ascii="仿宋_GB2312" w:hAnsi="仿宋" w:eastAsia="仿宋_GB2312"/>
          <w:sz w:val="32"/>
          <w:szCs w:val="32"/>
        </w:rPr>
        <w:fldChar w:fldCharType="end"/>
      </w:r>
      <w:r>
        <w:rPr>
          <w:rFonts w:hint="eastAsia" w:ascii="仿宋_GB2312" w:hAnsi="仿宋" w:eastAsia="仿宋_GB2312"/>
          <w:sz w:val="32"/>
          <w:szCs w:val="32"/>
        </w:rPr>
        <w:t>钠，是一种常用</w:t>
      </w:r>
      <w:r>
        <w:fldChar w:fldCharType="begin"/>
      </w:r>
      <w:r>
        <w:instrText xml:space="preserve"> HYPERLINK "http://baike.sogou.com/lemma/ShowInnerLink.htm?lemmaId=130009" </w:instrText>
      </w:r>
      <w:r>
        <w:fldChar w:fldCharType="separate"/>
      </w:r>
      <w:r>
        <w:rPr>
          <w:rFonts w:hint="eastAsia" w:ascii="仿宋_GB2312" w:hAnsi="仿宋" w:eastAsia="仿宋_GB2312"/>
          <w:sz w:val="32"/>
          <w:szCs w:val="32"/>
        </w:rPr>
        <w:t>甜味剂</w:t>
      </w:r>
      <w:r>
        <w:rPr>
          <w:rFonts w:hint="eastAsia" w:ascii="仿宋_GB2312" w:hAnsi="仿宋" w:eastAsia="仿宋_GB2312"/>
          <w:sz w:val="32"/>
          <w:szCs w:val="32"/>
        </w:rPr>
        <w:fldChar w:fldCharType="end"/>
      </w:r>
      <w:r>
        <w:rPr>
          <w:rFonts w:hint="eastAsia" w:ascii="仿宋_GB2312" w:hAnsi="仿宋" w:eastAsia="仿宋_GB2312"/>
          <w:sz w:val="32"/>
          <w:szCs w:val="32"/>
        </w:rPr>
        <w:t>，其甜度是蔗糖的30～40倍，作为非营养型</w:t>
      </w:r>
      <w:r>
        <w:fldChar w:fldCharType="begin"/>
      </w:r>
      <w:r>
        <w:instrText xml:space="preserve"> HYPERLINK "http://baike.sogou.com/lemma/ShowInnerLink.htm?lemmaId=130009&amp;ss_c=ssc.citiao.link" </w:instrText>
      </w:r>
      <w:r>
        <w:fldChar w:fldCharType="separate"/>
      </w:r>
      <w:r>
        <w:rPr>
          <w:rFonts w:hint="eastAsia" w:ascii="仿宋_GB2312" w:hAnsi="仿宋" w:eastAsia="仿宋_GB2312"/>
          <w:sz w:val="32"/>
          <w:szCs w:val="32"/>
        </w:rPr>
        <w:t>甜味剂</w:t>
      </w:r>
      <w:r>
        <w:rPr>
          <w:rFonts w:hint="eastAsia" w:ascii="仿宋_GB2312" w:hAnsi="仿宋" w:eastAsia="仿宋_GB2312"/>
          <w:sz w:val="32"/>
          <w:szCs w:val="32"/>
        </w:rPr>
        <w:fldChar w:fldCharType="end"/>
      </w:r>
      <w:r>
        <w:rPr>
          <w:rFonts w:hint="eastAsia" w:ascii="仿宋_GB2312" w:hAnsi="仿宋"/>
          <w:sz w:val="32"/>
          <w:szCs w:val="32"/>
          <w:lang w:eastAsia="zh-CN"/>
        </w:rPr>
        <w:t>，</w:t>
      </w:r>
      <w:r>
        <w:rPr>
          <w:rFonts w:hint="eastAsia" w:ascii="仿宋_GB2312" w:hAnsi="仿宋" w:eastAsia="仿宋_GB2312"/>
          <w:sz w:val="32"/>
          <w:szCs w:val="32"/>
        </w:rPr>
        <w:t>可广泛用于面包、糕点、饮料、配制酒及蜜饯等各种食品中。《食品安全国家标准 食品添加剂使用标准》（GB 2760-2014）中规定，腌渍的蔬菜中甜蜜素(以环己基氨基磺酸计）应≤1.0g/kg。长期食用甜蜜素不合格的食品，可能会对代谢排毒能力较弱人群的健康产生一定的影响。</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（四）</w:t>
      </w:r>
      <w:r>
        <w:rPr>
          <w:rFonts w:hint="eastAsia" w:ascii="楷体_GB2312" w:hAnsi="楷体" w:eastAsia="楷体_GB2312" w:cs="仿宋_GB2312"/>
          <w:b/>
          <w:sz w:val="32"/>
          <w:szCs w:val="32"/>
        </w:rPr>
        <w:t>苯甲酸及其钠盐</w:t>
      </w:r>
    </w:p>
    <w:p>
      <w:pPr>
        <w:spacing w:line="600" w:lineRule="exact"/>
        <w:ind w:firstLine="640" w:firstLineChars="200"/>
        <w:jc w:val="left"/>
        <w:textAlignment w:val="baseline"/>
        <w:rPr>
          <w:rFonts w:ascii="仿宋_GB2312" w:hAnsi="仿宋" w:eastAsia="仿宋_GB2312"/>
          <w:sz w:val="32"/>
          <w:szCs w:val="32"/>
        </w:rPr>
      </w:pPr>
      <w:r>
        <w:rPr>
          <w:rFonts w:hint="eastAsia" w:ascii="仿宋_GB2312" w:hAnsi="仿宋" w:eastAsia="仿宋_GB2312"/>
          <w:sz w:val="32"/>
          <w:szCs w:val="32"/>
        </w:rPr>
        <w:t>苯甲酸及其钠盐是食品工业中常见的一种防腐保鲜剂，对霉菌、酵母和细菌有较好的抑制作用。《食品安全国家标准食品添加剂使用标准》（GB 2760-2014）中规定，腌渍的蔬菜中苯甲酸及其钠盐（以苯甲酸计）应≤1.0 g/kg</w:t>
      </w:r>
      <w:r>
        <w:rPr>
          <w:rFonts w:hint="eastAsia" w:ascii="仿宋_GB2312" w:hAnsi="仿宋"/>
          <w:sz w:val="32"/>
          <w:szCs w:val="32"/>
          <w:lang w:eastAsia="zh-CN"/>
        </w:rPr>
        <w:t>，蜜饯凉果中</w:t>
      </w:r>
      <w:r>
        <w:rPr>
          <w:rFonts w:hint="eastAsia" w:ascii="仿宋_GB2312" w:hAnsi="仿宋" w:eastAsia="仿宋_GB2312"/>
          <w:sz w:val="32"/>
          <w:szCs w:val="32"/>
        </w:rPr>
        <w:t>苯甲酸及其钠盐（以苯甲酸计）应≤</w:t>
      </w:r>
      <w:r>
        <w:rPr>
          <w:rFonts w:hint="eastAsia" w:ascii="仿宋_GB2312" w:hAnsi="仿宋"/>
          <w:sz w:val="32"/>
          <w:szCs w:val="32"/>
          <w:lang w:val="en-US" w:eastAsia="zh-CN"/>
        </w:rPr>
        <w:t>0.5</w:t>
      </w:r>
      <w:r>
        <w:rPr>
          <w:rFonts w:hint="eastAsia" w:ascii="仿宋_GB2312" w:hAnsi="仿宋" w:eastAsia="仿宋_GB2312"/>
          <w:sz w:val="32"/>
          <w:szCs w:val="32"/>
        </w:rPr>
        <w:t xml:space="preserve"> g/kg。苯甲酸及其钠盐的安全性较高，少量苯甲酸对人体无毒害，可随尿液排出体外，在人体内不会蓄积，但人体若长期过量食入苯甲酸超标的食品可能会对肝脏功能产生一定影响。</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（五）</w:t>
      </w:r>
      <w:r>
        <w:rPr>
          <w:rFonts w:hint="eastAsia" w:ascii="楷体_GB2312" w:hAnsi="楷体" w:eastAsia="楷体_GB2312" w:cs="仿宋_GB2312"/>
          <w:b/>
          <w:sz w:val="32"/>
          <w:szCs w:val="32"/>
        </w:rPr>
        <w:t>柠檬黄</w:t>
      </w:r>
    </w:p>
    <w:p>
      <w:pPr>
        <w:spacing w:line="560" w:lineRule="exact"/>
        <w:ind w:firstLine="640" w:firstLineChars="200"/>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柠檬黄是一种人工合成着色剂。国家标准《食品安全国家标准 食品添加剂使用标准》（GB 2760-2014）中规定</w:t>
      </w:r>
      <w:r>
        <w:rPr>
          <w:rFonts w:hint="eastAsia" w:ascii="仿宋_GB2312" w:hAnsi="仿宋"/>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蜜饯凉果中柠檬黄应≤0.1g/kg。合成着色剂没有营养价值,长期过量食用可能对人体健康产生一定影响。</w:t>
      </w:r>
    </w:p>
    <w:p>
      <w:pPr>
        <w:autoSpaceDN w:val="0"/>
        <w:ind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六</w:t>
      </w:r>
      <w:r>
        <w:rPr>
          <w:rFonts w:hint="eastAsia" w:ascii="楷体_GB2312" w:hAnsi="楷体" w:eastAsia="楷体_GB2312" w:cs="仿宋_GB2312"/>
          <w:b/>
          <w:color w:val="000000"/>
          <w:sz w:val="32"/>
          <w:szCs w:val="32"/>
        </w:rPr>
        <w:t>）</w:t>
      </w:r>
      <w:r>
        <w:rPr>
          <w:rFonts w:hint="eastAsia" w:ascii="楷体_GB2312" w:hAnsi="楷体" w:eastAsia="楷体_GB2312" w:cs="仿宋_GB2312"/>
          <w:b/>
          <w:sz w:val="32"/>
          <w:szCs w:val="32"/>
        </w:rPr>
        <w:t>铅</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铅是一种能够在生物体内蓄积且排除缓慢的重金属污染物。</w:t>
      </w:r>
      <w:r>
        <w:rPr>
          <w:rFonts w:hint="eastAsia" w:ascii="仿宋_GB2312" w:hAnsi="仿宋"/>
          <w:color w:val="auto"/>
          <w:sz w:val="32"/>
          <w:szCs w:val="32"/>
          <w:lang w:eastAsia="zh-CN"/>
        </w:rPr>
        <w:t>企业标准</w:t>
      </w:r>
      <w:r>
        <w:rPr>
          <w:rFonts w:hint="eastAsia" w:ascii="仿宋_GB2312" w:hAnsi="仿宋" w:eastAsia="仿宋_GB2312"/>
          <w:color w:val="auto"/>
          <w:sz w:val="32"/>
          <w:szCs w:val="32"/>
        </w:rPr>
        <w:t>《汤料》</w:t>
      </w:r>
      <w:r>
        <w:rPr>
          <w:rFonts w:hint="eastAsia" w:ascii="仿宋_GB2312" w:hAnsi="仿宋"/>
          <w:color w:val="auto"/>
          <w:sz w:val="32"/>
          <w:szCs w:val="32"/>
          <w:lang w:val="en-US" w:eastAsia="zh-CN"/>
        </w:rPr>
        <w:t>[</w:t>
      </w:r>
      <w:r>
        <w:rPr>
          <w:rFonts w:hint="eastAsia" w:ascii="仿宋_GB2312" w:hAnsi="仿宋" w:eastAsia="仿宋_GB2312"/>
          <w:color w:val="auto"/>
          <w:sz w:val="32"/>
          <w:szCs w:val="32"/>
        </w:rPr>
        <w:t>Q/</w:t>
      </w:r>
      <w:r>
        <w:rPr>
          <w:rFonts w:hint="eastAsia" w:ascii="仿宋_GB2312" w:hAnsi="仿宋" w:eastAsia="仿宋_GB2312"/>
          <w:sz w:val="32"/>
          <w:szCs w:val="32"/>
        </w:rPr>
        <w:t>GF0002S-2018(44030463S-2018)</w:t>
      </w:r>
      <w:r>
        <w:rPr>
          <w:rFonts w:hint="eastAsia" w:ascii="仿宋_GB2312" w:hAnsi="仿宋"/>
          <w:sz w:val="32"/>
          <w:szCs w:val="32"/>
          <w:lang w:val="en-US" w:eastAsia="zh-CN"/>
        </w:rPr>
        <w:t>]</w:t>
      </w:r>
      <w:r>
        <w:rPr>
          <w:rFonts w:hint="eastAsia" w:ascii="仿宋_GB2312" w:hAnsi="仿宋" w:eastAsia="仿宋_GB2312"/>
          <w:sz w:val="32"/>
          <w:szCs w:val="32"/>
        </w:rPr>
        <w:t>中规定，</w:t>
      </w:r>
      <w:r>
        <w:rPr>
          <w:rFonts w:hint="eastAsia" w:ascii="仿宋_GB2312" w:hAnsi="仿宋" w:eastAsia="仿宋_GB2312"/>
          <w:sz w:val="32"/>
          <w:szCs w:val="32"/>
          <w:lang w:eastAsia="zh-CN"/>
        </w:rPr>
        <w:t>黑木耳</w:t>
      </w:r>
      <w:r>
        <w:rPr>
          <w:rFonts w:hint="eastAsia" w:ascii="仿宋_GB2312" w:hAnsi="仿宋"/>
          <w:sz w:val="32"/>
          <w:szCs w:val="32"/>
          <w:lang w:eastAsia="zh-CN"/>
        </w:rPr>
        <w:t>汤料</w:t>
      </w:r>
      <w:r>
        <w:rPr>
          <w:rFonts w:hint="eastAsia" w:ascii="仿宋_GB2312" w:hAnsi="仿宋" w:eastAsia="仿宋_GB2312"/>
          <w:sz w:val="32"/>
          <w:szCs w:val="32"/>
        </w:rPr>
        <w:t>中铅(以Pb计)应≤</w:t>
      </w:r>
      <w:r>
        <w:rPr>
          <w:rFonts w:hint="eastAsia" w:ascii="仿宋_GB2312" w:hAnsi="仿宋"/>
          <w:sz w:val="32"/>
          <w:szCs w:val="32"/>
          <w:lang w:val="en-US" w:eastAsia="zh-CN"/>
        </w:rPr>
        <w:t>0.1</w:t>
      </w:r>
      <w:r>
        <w:rPr>
          <w:rFonts w:hint="eastAsia" w:ascii="仿宋_GB2312" w:hAnsi="仿宋" w:eastAsia="仿宋_GB2312"/>
          <w:sz w:val="32"/>
          <w:szCs w:val="32"/>
        </w:rPr>
        <w:t>mg/kg。铅蓄积在体内可能会影响大脑和神经系统，尤其会对儿童造成智力发</w:t>
      </w:r>
      <w:r>
        <w:rPr>
          <w:rFonts w:hint="eastAsia" w:ascii="仿宋_GB2312" w:hAnsi="仿宋" w:eastAsia="仿宋_GB2312"/>
          <w:color w:val="auto"/>
          <w:sz w:val="32"/>
          <w:szCs w:val="32"/>
        </w:rPr>
        <w:t>育障碍和表现行为异常。</w:t>
      </w:r>
    </w:p>
    <w:p>
      <w:pPr>
        <w:spacing w:line="560" w:lineRule="exact"/>
        <w:ind w:left="0" w:leftChars="0"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七</w:t>
      </w:r>
      <w:r>
        <w:rPr>
          <w:rFonts w:hint="eastAsia" w:ascii="楷体_GB2312" w:hAnsi="楷体" w:eastAsia="楷体_GB2312" w:cs="仿宋_GB2312"/>
          <w:b/>
          <w:color w:val="auto"/>
          <w:sz w:val="32"/>
          <w:szCs w:val="32"/>
        </w:rPr>
        <w:t>）二氧化硫残留量</w:t>
      </w:r>
    </w:p>
    <w:p>
      <w:pPr>
        <w:spacing w:line="560" w:lineRule="exact"/>
        <w:ind w:firstLine="640" w:firstLineChars="200"/>
      </w:pPr>
      <w:r>
        <w:rPr>
          <w:rFonts w:hint="eastAsia" w:ascii="仿宋_GB2312" w:hAnsi="仿宋" w:eastAsia="仿宋_GB2312" w:cs="宋体"/>
          <w:color w:val="auto"/>
          <w:kern w:val="0"/>
          <w:sz w:val="32"/>
          <w:szCs w:val="32"/>
        </w:rPr>
        <w:t>食品中的二氧化硫残留通常是指二氧化硫、硫磺以及焦亚硫酸钠、焦亚硫酸钾、亚硫酸钠、亚硫酸氢钠、低亚硫酸钠等无机亚硫酸盐残留的统称。</w:t>
      </w:r>
      <w:r>
        <w:rPr>
          <w:rFonts w:hint="eastAsia" w:ascii="仿宋_GB2312" w:hAnsi="仿宋" w:eastAsia="仿宋_GB2312"/>
          <w:color w:val="auto"/>
          <w:sz w:val="32"/>
          <w:szCs w:val="32"/>
        </w:rPr>
        <w:t>《食品安全国家标准 食品添加剂使用标准》（GB 2760-2014）中规定，干制蔬菜中二氧化硫残留量应≤0.2 g/kg。</w:t>
      </w:r>
      <w:r>
        <w:rPr>
          <w:rFonts w:hint="eastAsia" w:ascii="仿宋_GB2312" w:hAnsi="仿宋" w:eastAsia="仿宋_GB2312" w:cs="宋体"/>
          <w:color w:val="auto"/>
          <w:kern w:val="0"/>
          <w:sz w:val="32"/>
          <w:szCs w:val="32"/>
        </w:rPr>
        <w:t>对二氧化硫有过敏反应</w:t>
      </w:r>
      <w:r>
        <w:rPr>
          <w:rFonts w:hint="eastAsia" w:ascii="仿宋_GB2312" w:hAnsi="仿宋" w:eastAsia="仿宋_GB2312" w:cs="宋体"/>
          <w:kern w:val="0"/>
          <w:sz w:val="32"/>
          <w:szCs w:val="32"/>
        </w:rPr>
        <w:t>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，可能会出现气喘、头痛或恶心等过敏症状。若长期大量摄入二氧化硫残留超标的食品，则可能对人体健康造成危害，其毒性表现为胃肠道反应，如恶心、呕吐等。此外，还会影响钙吸收，使机体钙丢失。</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ascii="楷体_GB2312" w:hAnsi="楷体" w:eastAsia="楷体_GB2312"/>
          <w:color w:val="auto"/>
          <w:sz w:val="32"/>
          <w:szCs w:val="32"/>
          <w:highlight w:val="none"/>
        </w:rPr>
      </w:pPr>
      <w:r>
        <w:rPr>
          <w:rFonts w:hint="eastAsia" w:ascii="楷体_GB2312" w:hAnsi="楷体" w:eastAsia="楷体_GB2312"/>
          <w:b/>
          <w:color w:val="auto"/>
          <w:sz w:val="32"/>
          <w:szCs w:val="32"/>
        </w:rPr>
        <w:t>（二）</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仿宋_GB2312"/>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17D0269"/>
    <w:rsid w:val="03E020C5"/>
    <w:rsid w:val="03FD00B3"/>
    <w:rsid w:val="07C82C95"/>
    <w:rsid w:val="091C5D20"/>
    <w:rsid w:val="0A101FAB"/>
    <w:rsid w:val="0AEA5DCE"/>
    <w:rsid w:val="0C455D22"/>
    <w:rsid w:val="0C6F4539"/>
    <w:rsid w:val="0CD4225F"/>
    <w:rsid w:val="0EA93008"/>
    <w:rsid w:val="0EC839C2"/>
    <w:rsid w:val="10AD16A7"/>
    <w:rsid w:val="1162065F"/>
    <w:rsid w:val="11B32DA0"/>
    <w:rsid w:val="12AF7645"/>
    <w:rsid w:val="141B2394"/>
    <w:rsid w:val="155219D3"/>
    <w:rsid w:val="16396F4B"/>
    <w:rsid w:val="16A52765"/>
    <w:rsid w:val="176818BF"/>
    <w:rsid w:val="17FA5E44"/>
    <w:rsid w:val="181E6360"/>
    <w:rsid w:val="199008F8"/>
    <w:rsid w:val="19EB104A"/>
    <w:rsid w:val="1B042E72"/>
    <w:rsid w:val="1C2B3ECE"/>
    <w:rsid w:val="1F456A61"/>
    <w:rsid w:val="200B2815"/>
    <w:rsid w:val="231A399D"/>
    <w:rsid w:val="249A66FD"/>
    <w:rsid w:val="25D84592"/>
    <w:rsid w:val="274815F0"/>
    <w:rsid w:val="27D171E0"/>
    <w:rsid w:val="29292876"/>
    <w:rsid w:val="29DF09A6"/>
    <w:rsid w:val="2DA27B95"/>
    <w:rsid w:val="2E172668"/>
    <w:rsid w:val="2FFC71C6"/>
    <w:rsid w:val="323F00BC"/>
    <w:rsid w:val="324700B2"/>
    <w:rsid w:val="36A26439"/>
    <w:rsid w:val="38622AFA"/>
    <w:rsid w:val="387272BF"/>
    <w:rsid w:val="38865B2F"/>
    <w:rsid w:val="3B1904CB"/>
    <w:rsid w:val="3BAB1A67"/>
    <w:rsid w:val="3BFE4DC9"/>
    <w:rsid w:val="3CDD7A17"/>
    <w:rsid w:val="3E051E67"/>
    <w:rsid w:val="3E1079E4"/>
    <w:rsid w:val="3E88008E"/>
    <w:rsid w:val="3E984FE9"/>
    <w:rsid w:val="3EC80CDE"/>
    <w:rsid w:val="44141429"/>
    <w:rsid w:val="464A4562"/>
    <w:rsid w:val="4848609B"/>
    <w:rsid w:val="4864409A"/>
    <w:rsid w:val="49346CC6"/>
    <w:rsid w:val="4B37566A"/>
    <w:rsid w:val="4EBC0748"/>
    <w:rsid w:val="4FED4605"/>
    <w:rsid w:val="52A0415B"/>
    <w:rsid w:val="52FE47AC"/>
    <w:rsid w:val="533A17A5"/>
    <w:rsid w:val="53465E28"/>
    <w:rsid w:val="53FD7C6B"/>
    <w:rsid w:val="551B6EF1"/>
    <w:rsid w:val="59E33FF0"/>
    <w:rsid w:val="59EA54F5"/>
    <w:rsid w:val="5E214E94"/>
    <w:rsid w:val="5E260538"/>
    <w:rsid w:val="5E7004E1"/>
    <w:rsid w:val="6048573D"/>
    <w:rsid w:val="62547A4D"/>
    <w:rsid w:val="63E10B0C"/>
    <w:rsid w:val="65E578BD"/>
    <w:rsid w:val="6792245C"/>
    <w:rsid w:val="6801069F"/>
    <w:rsid w:val="69130912"/>
    <w:rsid w:val="69CB77D8"/>
    <w:rsid w:val="6A323B2C"/>
    <w:rsid w:val="6D731B27"/>
    <w:rsid w:val="6ECD36FF"/>
    <w:rsid w:val="6F1957D5"/>
    <w:rsid w:val="72A04A1F"/>
    <w:rsid w:val="72F24D9D"/>
    <w:rsid w:val="738026E3"/>
    <w:rsid w:val="75CA36CA"/>
    <w:rsid w:val="763955BF"/>
    <w:rsid w:val="77FC16E5"/>
    <w:rsid w:val="78FE0A2F"/>
    <w:rsid w:val="7A7C11A9"/>
    <w:rsid w:val="7B5E04A9"/>
    <w:rsid w:val="7C07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20</TotalTime>
  <ScaleCrop>false</ScaleCrop>
  <LinksUpToDate>false</LinksUpToDate>
  <CharactersWithSpaces>4018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陈建维</cp:lastModifiedBy>
  <dcterms:modified xsi:type="dcterms:W3CDTF">2021-03-25T08:24:08Z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2BCBADEB164F420AB7CA92621D404113</vt:lpwstr>
  </property>
</Properties>
</file>