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47" w:rsidRDefault="005E2747" w:rsidP="005E2747">
      <w:pPr>
        <w:rPr>
          <w:rStyle w:val="a3"/>
          <w:rFonts w:ascii="黑体" w:eastAsia="黑体" w:hAnsi="黑体" w:cs="Arial"/>
          <w:b w:val="0"/>
          <w:bCs w:val="0"/>
          <w:sz w:val="32"/>
          <w:szCs w:val="32"/>
        </w:rPr>
      </w:pPr>
      <w:r>
        <w:rPr>
          <w:rStyle w:val="a3"/>
          <w:rFonts w:ascii="黑体" w:eastAsia="黑体" w:hAnsi="黑体" w:cs="Arial" w:hint="eastAsia"/>
          <w:b w:val="0"/>
          <w:bCs w:val="0"/>
          <w:sz w:val="32"/>
          <w:szCs w:val="32"/>
        </w:rPr>
        <w:t>附件3</w:t>
      </w:r>
    </w:p>
    <w:p w:rsidR="005E2747" w:rsidRDefault="005E2747" w:rsidP="005E2747">
      <w:pPr>
        <w:rPr>
          <w:rStyle w:val="a3"/>
          <w:rFonts w:ascii="华文中宋" w:eastAsia="华文中宋" w:hAnsi="华文中宋" w:cs="Arial" w:hint="eastAsia"/>
          <w:b w:val="0"/>
          <w:bCs w:val="0"/>
          <w:sz w:val="52"/>
          <w:szCs w:val="52"/>
        </w:rPr>
      </w:pPr>
    </w:p>
    <w:p w:rsidR="005E2747" w:rsidRDefault="005E2747" w:rsidP="005E2747">
      <w:pPr>
        <w:rPr>
          <w:rStyle w:val="a3"/>
          <w:rFonts w:ascii="华文中宋" w:eastAsia="华文中宋" w:hAnsi="华文中宋" w:cs="Arial" w:hint="eastAsia"/>
          <w:b w:val="0"/>
          <w:bCs w:val="0"/>
          <w:sz w:val="52"/>
          <w:szCs w:val="52"/>
        </w:rPr>
      </w:pPr>
    </w:p>
    <w:p w:rsidR="005E2747" w:rsidRDefault="005E2747" w:rsidP="005E2747">
      <w:pPr>
        <w:jc w:val="center"/>
        <w:rPr>
          <w:rStyle w:val="a3"/>
          <w:rFonts w:ascii="华文中宋" w:eastAsia="华文中宋" w:hAnsi="华文中宋" w:cs="Arial" w:hint="eastAsia"/>
          <w:b w:val="0"/>
          <w:bCs w:val="0"/>
          <w:sz w:val="52"/>
          <w:szCs w:val="52"/>
        </w:rPr>
      </w:pPr>
      <w:r>
        <w:rPr>
          <w:rStyle w:val="a3"/>
          <w:rFonts w:ascii="华文中宋" w:eastAsia="华文中宋" w:hAnsi="华文中宋" w:cs="Arial" w:hint="eastAsia"/>
          <w:b w:val="0"/>
          <w:bCs w:val="0"/>
          <w:sz w:val="72"/>
          <w:szCs w:val="72"/>
        </w:rPr>
        <w:t>供深食品标识制度</w:t>
      </w:r>
    </w:p>
    <w:p w:rsidR="005E2747" w:rsidRDefault="005E2747" w:rsidP="005E2747">
      <w:pPr>
        <w:pStyle w:val="1"/>
        <w:spacing w:before="0" w:after="0" w:line="360" w:lineRule="auto"/>
        <w:rPr>
          <w:rStyle w:val="a3"/>
          <w:rFonts w:ascii="华文中宋" w:eastAsia="华文中宋" w:hAnsi="华文中宋" w:cs="Arial" w:hint="eastAsia"/>
          <w:sz w:val="36"/>
          <w:szCs w:val="36"/>
        </w:rPr>
      </w:pPr>
      <w:r>
        <w:rPr>
          <w:rStyle w:val="a3"/>
          <w:rFonts w:ascii="华文中宋" w:eastAsia="华文中宋" w:hAnsi="华文中宋" w:cs="Arial" w:hint="eastAsia"/>
          <w:sz w:val="36"/>
          <w:szCs w:val="36"/>
        </w:rPr>
        <w:t>（征求意见稿）</w:t>
      </w:r>
    </w:p>
    <w:p w:rsidR="005E2747" w:rsidRDefault="005E2747" w:rsidP="005E2747">
      <w:pPr>
        <w:rPr>
          <w:rStyle w:val="a3"/>
          <w:rFonts w:ascii="华文中宋" w:eastAsia="华文中宋" w:hAnsi="华文中宋" w:cs="Arial" w:hint="eastAsia"/>
          <w:b w:val="0"/>
          <w:bCs w:val="0"/>
          <w:sz w:val="36"/>
          <w:szCs w:val="36"/>
        </w:rPr>
      </w:pPr>
    </w:p>
    <w:p w:rsidR="005E2747" w:rsidRDefault="005E2747" w:rsidP="005E2747">
      <w:pPr>
        <w:widowControl/>
        <w:jc w:val="left"/>
        <w:rPr>
          <w:rStyle w:val="a3"/>
          <w:rFonts w:ascii="华文中宋" w:eastAsia="华文中宋" w:hAnsi="华文中宋" w:cs="Arial"/>
          <w:b w:val="0"/>
          <w:bCs w:val="0"/>
          <w:sz w:val="36"/>
          <w:szCs w:val="36"/>
        </w:rPr>
        <w:sectPr w:rsidR="005E2747">
          <w:pgSz w:w="11850" w:h="16783"/>
          <w:pgMar w:top="1588" w:right="1474" w:bottom="1588" w:left="1474" w:header="851" w:footer="992" w:gutter="0"/>
          <w:pgNumType w:fmt="numberInDash"/>
          <w:cols w:space="720"/>
          <w:docGrid w:type="lines" w:linePitch="312"/>
        </w:sectPr>
      </w:pPr>
    </w:p>
    <w:p w:rsidR="005E2747" w:rsidRDefault="005E2747" w:rsidP="005E2747">
      <w:pPr>
        <w:pStyle w:val="1"/>
        <w:spacing w:before="0" w:after="0" w:line="600" w:lineRule="exact"/>
        <w:rPr>
          <w:rStyle w:val="a3"/>
          <w:rFonts w:ascii="华文中宋" w:eastAsia="华文中宋" w:hAnsi="华文中宋" w:cs="Arial" w:hint="eastAsia"/>
        </w:rPr>
      </w:pPr>
      <w:r>
        <w:rPr>
          <w:rStyle w:val="a3"/>
          <w:rFonts w:ascii="华文中宋" w:eastAsia="华文中宋" w:hAnsi="华文中宋" w:cs="Arial" w:hint="eastAsia"/>
          <w:sz w:val="36"/>
          <w:szCs w:val="36"/>
        </w:rPr>
        <w:lastRenderedPageBreak/>
        <w:t>供深食品标识制度</w:t>
      </w:r>
    </w:p>
    <w:p w:rsidR="005E2747" w:rsidRDefault="005E2747" w:rsidP="005E2747">
      <w:pPr>
        <w:pStyle w:val="2"/>
        <w:spacing w:before="0" w:after="0" w:line="600" w:lineRule="exact"/>
        <w:rPr>
          <w:rFonts w:hint="eastAsia"/>
          <w:szCs w:val="30"/>
        </w:rPr>
      </w:pPr>
      <w:r>
        <w:rPr>
          <w:rFonts w:hint="eastAsia"/>
          <w:szCs w:val="30"/>
        </w:rPr>
        <w:t>第一章</w:t>
      </w:r>
      <w:r>
        <w:rPr>
          <w:szCs w:val="30"/>
        </w:rPr>
        <w:t xml:space="preserve"> </w:t>
      </w:r>
      <w:r>
        <w:rPr>
          <w:rFonts w:hint="eastAsia"/>
          <w:szCs w:val="30"/>
        </w:rPr>
        <w:t>总</w:t>
      </w:r>
      <w:r>
        <w:rPr>
          <w:szCs w:val="30"/>
        </w:rPr>
        <w:t xml:space="preserve">  </w:t>
      </w:r>
      <w:r>
        <w:rPr>
          <w:rFonts w:hint="eastAsia"/>
          <w:szCs w:val="30"/>
        </w:rPr>
        <w:t>则</w:t>
      </w:r>
    </w:p>
    <w:p w:rsidR="005E2747" w:rsidRDefault="005E2747" w:rsidP="005E2747">
      <w:pPr>
        <w:numPr>
          <w:ilvl w:val="0"/>
          <w:numId w:val="1"/>
        </w:numPr>
        <w:snapToGrid w:val="0"/>
        <w:spacing w:line="600" w:lineRule="exact"/>
        <w:ind w:left="0" w:firstLineChars="200" w:firstLine="560"/>
        <w:rPr>
          <w:rFonts w:ascii="宋体" w:hAnsi="宋体" w:cs="宋体"/>
          <w:kern w:val="0"/>
          <w:sz w:val="28"/>
          <w:szCs w:val="28"/>
        </w:rPr>
      </w:pPr>
      <w:r>
        <w:rPr>
          <w:rFonts w:ascii="宋体" w:hAnsi="宋体" w:cs="宋体" w:hint="eastAsia"/>
          <w:kern w:val="0"/>
          <w:sz w:val="28"/>
          <w:szCs w:val="28"/>
        </w:rPr>
        <w:t>为规范供深食品评价标识使用管理，建立有效的供深食品评价标识监督机制，提升供深食品整体品牌形象，根据《中华人民共和国食品安全法》《广东省食品安全条例》《深圳经济特区质量条例》《深圳经济特区食品安全监督条例》《深圳市实施食品安全战略 建立供深食品标准体系 打造市民满意的食品安全城市工作方案（2018-2020年）》（深府〔2018〕41号）《深圳标准标识管理办法》等有关规定精神，参照《中华人民共和国认证认可条例》，结合深圳市实际，制定本制度。</w:t>
      </w:r>
    </w:p>
    <w:p w:rsidR="005E2747" w:rsidRDefault="005E2747" w:rsidP="005E2747">
      <w:pPr>
        <w:numPr>
          <w:ilvl w:val="0"/>
          <w:numId w:val="1"/>
        </w:numPr>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本制度适用于供深食品评价标识的使用和监督管理活动。</w:t>
      </w:r>
    </w:p>
    <w:p w:rsidR="005E2747" w:rsidRDefault="005E2747" w:rsidP="005E2747">
      <w:pPr>
        <w:numPr>
          <w:ilvl w:val="0"/>
          <w:numId w:val="1"/>
        </w:numPr>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本制度所称供深食品评价标识，是指申请供深食品评价的食品及其生产加工过程经过供深食品评价，取得供深食品评价证书后由</w:t>
      </w:r>
      <w:r>
        <w:rPr>
          <w:rFonts w:ascii="宋体" w:cs="宋体" w:hint="eastAsia"/>
          <w:kern w:val="0"/>
          <w:sz w:val="28"/>
          <w:szCs w:val="32"/>
        </w:rPr>
        <w:t>深圳市深圳标准促进会（以下简称“市标促会”）</w:t>
      </w:r>
      <w:r>
        <w:rPr>
          <w:rFonts w:ascii="宋体" w:hAnsi="宋体" w:cs="宋体" w:hint="eastAsia"/>
          <w:kern w:val="0"/>
          <w:sz w:val="28"/>
          <w:szCs w:val="28"/>
        </w:rPr>
        <w:t>授权使用的评价标识。</w:t>
      </w:r>
    </w:p>
    <w:p w:rsidR="005E2747" w:rsidRDefault="005E2747" w:rsidP="005E2747">
      <w:pPr>
        <w:pStyle w:val="2"/>
        <w:spacing w:before="0" w:after="0" w:line="600" w:lineRule="exact"/>
        <w:rPr>
          <w:rFonts w:hint="eastAsia"/>
          <w:szCs w:val="30"/>
        </w:rPr>
      </w:pPr>
      <w:bookmarkStart w:id="0" w:name="_Toc525997375"/>
      <w:r>
        <w:rPr>
          <w:rFonts w:hint="eastAsia"/>
          <w:szCs w:val="30"/>
        </w:rPr>
        <w:t>第二章</w:t>
      </w:r>
      <w:r>
        <w:rPr>
          <w:szCs w:val="30"/>
        </w:rPr>
        <w:t xml:space="preserve"> </w:t>
      </w:r>
      <w:r>
        <w:rPr>
          <w:rFonts w:hint="eastAsia"/>
          <w:szCs w:val="30"/>
        </w:rPr>
        <w:t>标识使用</w:t>
      </w:r>
      <w:bookmarkEnd w:id="0"/>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kern w:val="0"/>
          <w:sz w:val="28"/>
          <w:szCs w:val="28"/>
        </w:rPr>
      </w:pPr>
      <w:r>
        <w:rPr>
          <w:rFonts w:ascii="宋体" w:hAnsi="宋体" w:cs="宋体" w:hint="eastAsia"/>
          <w:kern w:val="0"/>
          <w:sz w:val="28"/>
          <w:szCs w:val="28"/>
        </w:rPr>
        <w:t>供深食品评价标识式样市标促会统一制定。</w:t>
      </w:r>
    </w:p>
    <w:p w:rsidR="005E2747" w:rsidRDefault="005E2747" w:rsidP="005E2747">
      <w:pPr>
        <w:numPr>
          <w:ilvl w:val="0"/>
          <w:numId w:val="1"/>
        </w:numPr>
        <w:autoSpaceDE w:val="0"/>
        <w:autoSpaceDN w:val="0"/>
        <w:adjustRightInd w:val="0"/>
        <w:snapToGrid w:val="0"/>
        <w:spacing w:line="600" w:lineRule="exact"/>
        <w:ind w:left="0" w:firstLineChars="152" w:firstLine="426"/>
        <w:rPr>
          <w:rFonts w:ascii="宋体" w:hAnsi="宋体" w:cs="宋体" w:hint="eastAsia"/>
          <w:kern w:val="0"/>
          <w:sz w:val="28"/>
          <w:szCs w:val="28"/>
        </w:rPr>
      </w:pPr>
      <w:r>
        <w:rPr>
          <w:rFonts w:ascii="宋体" w:hAnsi="宋体" w:cs="宋体" w:hint="eastAsia"/>
          <w:kern w:val="0"/>
          <w:sz w:val="28"/>
          <w:szCs w:val="28"/>
        </w:rPr>
        <w:t>通过供深食品评价的食品，可以在包装、装潢、说明书、广告宣传以及相关经营活动中使用供深食品评价标识，并可使用追溯码。</w:t>
      </w:r>
    </w:p>
    <w:p w:rsidR="005E2747" w:rsidRDefault="005E2747" w:rsidP="005E2747">
      <w:pPr>
        <w:autoSpaceDE w:val="0"/>
        <w:autoSpaceDN w:val="0"/>
        <w:adjustRightInd w:val="0"/>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追溯码包含食品生产经营主体基本信息、抽检结果、追溯信息、综合评分等信息。</w:t>
      </w:r>
    </w:p>
    <w:p w:rsidR="005E2747" w:rsidRDefault="005E2747" w:rsidP="005E2747">
      <w:pPr>
        <w:autoSpaceDE w:val="0"/>
        <w:autoSpaceDN w:val="0"/>
        <w:adjustRightInd w:val="0"/>
        <w:snapToGrid w:val="0"/>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供深食品评价标识只能使用在与通过供深食品评价相一致的食品（含食用农产品）上，不得擅自扩大使用范围。</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通过供深食品评价的，由食品生产经营主体按标识式样自行制作、印刷供深食品评价标识，并及时将标识使用情况向市标促会备案。</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获证食品生产经营主体使用供深食品评价标识，图形必须准确、完整，可根据规定的式样，按比例放大或缩小。</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供深食品评价标识印刷在物体上，其底色不得影响标识的色样，不得</w:t>
      </w:r>
      <w:proofErr w:type="gramStart"/>
      <w:r>
        <w:rPr>
          <w:rFonts w:ascii="宋体" w:hAnsi="宋体" w:cs="宋体" w:hint="eastAsia"/>
          <w:kern w:val="0"/>
          <w:sz w:val="28"/>
          <w:szCs w:val="28"/>
        </w:rPr>
        <w:t>透叠其他</w:t>
      </w:r>
      <w:proofErr w:type="gramEnd"/>
      <w:r>
        <w:rPr>
          <w:rFonts w:ascii="宋体" w:hAnsi="宋体" w:cs="宋体" w:hint="eastAsia"/>
          <w:kern w:val="0"/>
          <w:sz w:val="28"/>
          <w:szCs w:val="28"/>
        </w:rPr>
        <w:t>色彩和图案。</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 xml:space="preserve">供深食品评价标识的有效期与供深食品评价证书有效期一致。使用供深食品评价标识的食品生产经营主体，应当在供深食品评价证书有效期届满60日前，重新获得评价方能继续使用。 </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供深食品标准有修订的，执行经修订的供深食品标准的食品生产经营主体应当重新申请供深食品评价，获得通过方能继续使用供深食品评价标识。</w:t>
      </w:r>
    </w:p>
    <w:p w:rsidR="005E2747" w:rsidRDefault="005E2747" w:rsidP="005E2747">
      <w:pPr>
        <w:pStyle w:val="2"/>
        <w:spacing w:before="0" w:after="0" w:line="600" w:lineRule="exact"/>
        <w:rPr>
          <w:rFonts w:hint="eastAsia"/>
          <w:szCs w:val="30"/>
        </w:rPr>
      </w:pPr>
      <w:r>
        <w:rPr>
          <w:rFonts w:hint="eastAsia"/>
          <w:szCs w:val="30"/>
        </w:rPr>
        <w:t>第三章</w:t>
      </w:r>
      <w:r>
        <w:rPr>
          <w:szCs w:val="30"/>
        </w:rPr>
        <w:t xml:space="preserve"> </w:t>
      </w:r>
      <w:r>
        <w:rPr>
          <w:rFonts w:hint="eastAsia"/>
          <w:szCs w:val="30"/>
        </w:rPr>
        <w:t>标识的监督管理</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kern w:val="0"/>
          <w:sz w:val="28"/>
          <w:szCs w:val="28"/>
        </w:rPr>
      </w:pPr>
      <w:r>
        <w:rPr>
          <w:rFonts w:ascii="宋体" w:hAnsi="宋体" w:cs="宋体" w:hint="eastAsia"/>
          <w:kern w:val="0"/>
          <w:sz w:val="28"/>
          <w:szCs w:val="28"/>
        </w:rPr>
        <w:t>有下列情形之一的，不得继续使用供深食品评价标识：</w:t>
      </w:r>
    </w:p>
    <w:p w:rsidR="005E2747" w:rsidRDefault="005E2747" w:rsidP="005E2747">
      <w:pPr>
        <w:pStyle w:val="ListParagraph"/>
        <w:numPr>
          <w:ilvl w:val="0"/>
          <w:numId w:val="2"/>
        </w:numPr>
        <w:autoSpaceDE w:val="0"/>
        <w:autoSpaceDN w:val="0"/>
        <w:adjustRightInd w:val="0"/>
        <w:snapToGrid w:val="0"/>
        <w:spacing w:line="600" w:lineRule="exact"/>
        <w:ind w:firstLineChars="0"/>
        <w:rPr>
          <w:rFonts w:ascii="宋体" w:hAnsi="宋体" w:cs="宋体" w:hint="eastAsia"/>
          <w:kern w:val="0"/>
          <w:sz w:val="28"/>
          <w:szCs w:val="28"/>
        </w:rPr>
      </w:pPr>
      <w:r>
        <w:rPr>
          <w:rFonts w:ascii="宋体" w:hAnsi="宋体" w:cs="宋体" w:hint="eastAsia"/>
          <w:kern w:val="0"/>
          <w:sz w:val="28"/>
          <w:szCs w:val="28"/>
        </w:rPr>
        <w:t>供深食品标准有修订的，执行经修订的供深食品标准的食品生产经营主体</w:t>
      </w:r>
      <w:proofErr w:type="gramStart"/>
      <w:r>
        <w:rPr>
          <w:rFonts w:ascii="宋体" w:hAnsi="宋体" w:cs="宋体" w:hint="eastAsia"/>
          <w:kern w:val="0"/>
          <w:sz w:val="28"/>
          <w:szCs w:val="28"/>
        </w:rPr>
        <w:t>未再次</w:t>
      </w:r>
      <w:proofErr w:type="gramEnd"/>
      <w:r>
        <w:rPr>
          <w:rFonts w:ascii="宋体" w:hAnsi="宋体" w:cs="宋体" w:hint="eastAsia"/>
          <w:kern w:val="0"/>
          <w:sz w:val="28"/>
          <w:szCs w:val="28"/>
        </w:rPr>
        <w:t>申请评价或申请评价未获通过的；</w:t>
      </w:r>
    </w:p>
    <w:p w:rsidR="005E2747" w:rsidRDefault="005E2747" w:rsidP="005E2747">
      <w:pPr>
        <w:pStyle w:val="ListParagraph"/>
        <w:numPr>
          <w:ilvl w:val="0"/>
          <w:numId w:val="2"/>
        </w:numPr>
        <w:autoSpaceDE w:val="0"/>
        <w:autoSpaceDN w:val="0"/>
        <w:adjustRightInd w:val="0"/>
        <w:snapToGrid w:val="0"/>
        <w:spacing w:line="600" w:lineRule="exact"/>
        <w:ind w:firstLineChars="0"/>
        <w:rPr>
          <w:rFonts w:ascii="宋体" w:hAnsi="宋体" w:cs="宋体" w:hint="eastAsia"/>
          <w:kern w:val="0"/>
          <w:sz w:val="28"/>
          <w:szCs w:val="28"/>
        </w:rPr>
      </w:pPr>
      <w:r>
        <w:rPr>
          <w:rFonts w:ascii="宋体" w:hAnsi="宋体" w:cs="宋体" w:hint="eastAsia"/>
          <w:kern w:val="0"/>
          <w:sz w:val="28"/>
          <w:szCs w:val="28"/>
        </w:rPr>
        <w:t>供深食品评价证书被暂停或撤销的；</w:t>
      </w:r>
    </w:p>
    <w:p w:rsidR="005E2747" w:rsidRDefault="005E2747" w:rsidP="005E2747">
      <w:pPr>
        <w:pStyle w:val="ListParagraph"/>
        <w:numPr>
          <w:ilvl w:val="0"/>
          <w:numId w:val="2"/>
        </w:numPr>
        <w:autoSpaceDE w:val="0"/>
        <w:autoSpaceDN w:val="0"/>
        <w:adjustRightInd w:val="0"/>
        <w:snapToGrid w:val="0"/>
        <w:spacing w:line="600" w:lineRule="exact"/>
        <w:ind w:firstLineChars="0"/>
        <w:rPr>
          <w:rFonts w:ascii="宋体" w:hAnsi="宋体" w:cs="宋体" w:hint="eastAsia"/>
          <w:kern w:val="0"/>
          <w:sz w:val="28"/>
          <w:szCs w:val="28"/>
        </w:rPr>
      </w:pPr>
      <w:r>
        <w:rPr>
          <w:rFonts w:ascii="宋体" w:hAnsi="宋体" w:cs="宋体" w:hint="eastAsia"/>
          <w:kern w:val="0"/>
          <w:sz w:val="28"/>
          <w:szCs w:val="28"/>
        </w:rPr>
        <w:t>供深食品评价证书超过有效期，该食品生产经营主体未重新申请或重新申请未获通过的。</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食品生产经营主体未按规定使用供深食品评价标识的，由市标促会责令改正。</w:t>
      </w:r>
    </w:p>
    <w:p w:rsidR="005E2747" w:rsidRDefault="005E2747" w:rsidP="005E2747">
      <w:pPr>
        <w:numPr>
          <w:ilvl w:val="0"/>
          <w:numId w:val="1"/>
        </w:numPr>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未经供深食品评价或评价不合格擅自使用供深食品评价标识的，由市标促会依规予以处理。</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任何单位和个人对供深食品标识使用中的违法违规行为，有权向监管部门投诉或者举报，监管部门应及时调查处理。</w:t>
      </w:r>
    </w:p>
    <w:p w:rsidR="005E2747" w:rsidRDefault="005E2747" w:rsidP="005E2747">
      <w:pPr>
        <w:pStyle w:val="2"/>
        <w:spacing w:before="0" w:after="0" w:line="600" w:lineRule="exact"/>
        <w:rPr>
          <w:rFonts w:hint="eastAsia"/>
          <w:szCs w:val="30"/>
        </w:rPr>
      </w:pPr>
      <w:r>
        <w:rPr>
          <w:rFonts w:hint="eastAsia"/>
          <w:szCs w:val="30"/>
        </w:rPr>
        <w:t>第四章</w:t>
      </w:r>
      <w:r>
        <w:rPr>
          <w:szCs w:val="30"/>
        </w:rPr>
        <w:t xml:space="preserve"> </w:t>
      </w:r>
      <w:r>
        <w:rPr>
          <w:rFonts w:hint="eastAsia"/>
          <w:szCs w:val="30"/>
        </w:rPr>
        <w:t>附</w:t>
      </w:r>
      <w:r>
        <w:rPr>
          <w:szCs w:val="30"/>
        </w:rPr>
        <w:t xml:space="preserve">  </w:t>
      </w:r>
      <w:r>
        <w:rPr>
          <w:rFonts w:hint="eastAsia"/>
          <w:szCs w:val="30"/>
        </w:rPr>
        <w:t>则</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kern w:val="0"/>
          <w:sz w:val="28"/>
          <w:szCs w:val="28"/>
        </w:rPr>
      </w:pPr>
      <w:r>
        <w:rPr>
          <w:rFonts w:ascii="宋体" w:hAnsi="宋体" w:cs="宋体" w:hint="eastAsia"/>
          <w:kern w:val="0"/>
          <w:sz w:val="28"/>
          <w:szCs w:val="28"/>
        </w:rPr>
        <w:t>本制度由深圳市市场监督管理局负责解释。</w:t>
      </w:r>
    </w:p>
    <w:p w:rsidR="005E2747" w:rsidRDefault="005E2747" w:rsidP="005E2747">
      <w:pPr>
        <w:numPr>
          <w:ilvl w:val="0"/>
          <w:numId w:val="1"/>
        </w:numPr>
        <w:autoSpaceDE w:val="0"/>
        <w:autoSpaceDN w:val="0"/>
        <w:adjustRightInd w:val="0"/>
        <w:snapToGrid w:val="0"/>
        <w:spacing w:line="600" w:lineRule="exact"/>
        <w:ind w:left="0" w:firstLineChars="200" w:firstLine="560"/>
        <w:rPr>
          <w:rFonts w:ascii="宋体" w:hAnsi="宋体" w:cs="宋体" w:hint="eastAsia"/>
          <w:kern w:val="0"/>
          <w:sz w:val="28"/>
          <w:szCs w:val="28"/>
        </w:rPr>
      </w:pPr>
      <w:r>
        <w:rPr>
          <w:rFonts w:ascii="宋体" w:hAnsi="宋体" w:cs="宋体" w:hint="eastAsia"/>
          <w:kern w:val="0"/>
          <w:sz w:val="28"/>
          <w:szCs w:val="28"/>
        </w:rPr>
        <w:t>本制度自发布之日起施行，有效期5年。</w:t>
      </w:r>
    </w:p>
    <w:p w:rsidR="005E2747" w:rsidRDefault="005E2747" w:rsidP="005E2747">
      <w:pPr>
        <w:spacing w:line="360" w:lineRule="auto"/>
        <w:rPr>
          <w:rFonts w:hint="eastAsia"/>
        </w:rPr>
      </w:pPr>
    </w:p>
    <w:p w:rsidR="005E2747" w:rsidRDefault="005E2747" w:rsidP="005E2747">
      <w:pPr>
        <w:spacing w:line="560" w:lineRule="exact"/>
        <w:rPr>
          <w:rFonts w:ascii="仿宋" w:eastAsia="仿宋" w:hAnsi="仿宋"/>
          <w:sz w:val="32"/>
          <w:szCs w:val="32"/>
        </w:rPr>
      </w:pPr>
    </w:p>
    <w:p w:rsidR="00B56FB4" w:rsidRPr="005E2747" w:rsidRDefault="00B56FB4"/>
    <w:sectPr w:rsidR="00B56FB4" w:rsidRPr="005E2747" w:rsidSect="00B56F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A41FA"/>
    <w:multiLevelType w:val="multilevel"/>
    <w:tmpl w:val="523A41FA"/>
    <w:lvl w:ilvl="0">
      <w:start w:val="1"/>
      <w:numFmt w:val="chineseCountingThousand"/>
      <w:lvlText w:val="第%1条"/>
      <w:lvlJc w:val="left"/>
      <w:pPr>
        <w:ind w:left="1130" w:hanging="420"/>
      </w:pPr>
      <w:rPr>
        <w:rFonts w:ascii="Times New Roman" w:eastAsia="黑体" w:hAnsi="Times New Roman" w:hint="eastAsia"/>
        <w:b w:val="0"/>
        <w:i w:val="0"/>
        <w:sz w:val="30"/>
        <w:szCs w:val="30"/>
        <w:lang w:val="en-US"/>
      </w:rPr>
    </w:lvl>
    <w:lvl w:ilvl="1">
      <w:start w:val="1"/>
      <w:numFmt w:val="lowerLetter"/>
      <w:lvlText w:val="%2)"/>
      <w:lvlJc w:val="left"/>
      <w:pPr>
        <w:ind w:left="-647" w:hanging="420"/>
      </w:pPr>
    </w:lvl>
    <w:lvl w:ilvl="2">
      <w:start w:val="1"/>
      <w:numFmt w:val="lowerRoman"/>
      <w:lvlText w:val="%3."/>
      <w:lvlJc w:val="right"/>
      <w:pPr>
        <w:ind w:left="-227" w:hanging="420"/>
      </w:pPr>
    </w:lvl>
    <w:lvl w:ilvl="3">
      <w:start w:val="1"/>
      <w:numFmt w:val="decimal"/>
      <w:lvlText w:val="%4."/>
      <w:lvlJc w:val="left"/>
      <w:pPr>
        <w:ind w:left="193" w:hanging="420"/>
      </w:pPr>
    </w:lvl>
    <w:lvl w:ilvl="4">
      <w:start w:val="1"/>
      <w:numFmt w:val="lowerLetter"/>
      <w:lvlText w:val="%5)"/>
      <w:lvlJc w:val="left"/>
      <w:pPr>
        <w:ind w:left="613" w:hanging="420"/>
      </w:pPr>
    </w:lvl>
    <w:lvl w:ilvl="5">
      <w:start w:val="1"/>
      <w:numFmt w:val="lowerRoman"/>
      <w:lvlText w:val="%6."/>
      <w:lvlJc w:val="right"/>
      <w:pPr>
        <w:ind w:left="1033" w:hanging="420"/>
      </w:pPr>
    </w:lvl>
    <w:lvl w:ilvl="6">
      <w:start w:val="1"/>
      <w:numFmt w:val="decimal"/>
      <w:lvlText w:val="%7."/>
      <w:lvlJc w:val="left"/>
      <w:pPr>
        <w:ind w:left="1453" w:hanging="420"/>
      </w:pPr>
    </w:lvl>
    <w:lvl w:ilvl="7">
      <w:start w:val="1"/>
      <w:numFmt w:val="lowerLetter"/>
      <w:lvlText w:val="%8)"/>
      <w:lvlJc w:val="left"/>
      <w:pPr>
        <w:ind w:left="1873" w:hanging="420"/>
      </w:pPr>
    </w:lvl>
    <w:lvl w:ilvl="8">
      <w:start w:val="1"/>
      <w:numFmt w:val="lowerRoman"/>
      <w:lvlText w:val="%9."/>
      <w:lvlJc w:val="right"/>
      <w:pPr>
        <w:ind w:left="2293" w:hanging="420"/>
      </w:pPr>
    </w:lvl>
  </w:abstractNum>
  <w:abstractNum w:abstractNumId="1">
    <w:nsid w:val="59CD8838"/>
    <w:multiLevelType w:val="singleLevel"/>
    <w:tmpl w:val="59CD8838"/>
    <w:lvl w:ilvl="0">
      <w:start w:val="1"/>
      <w:numFmt w:val="chineseCounting"/>
      <w:suff w:val="nothing"/>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E2747"/>
    <w:rsid w:val="005E2747"/>
    <w:rsid w:val="00B56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47"/>
    <w:pPr>
      <w:widowControl w:val="0"/>
      <w:jc w:val="both"/>
    </w:pPr>
    <w:rPr>
      <w:rFonts w:ascii="Calibri" w:eastAsia="宋体" w:hAnsi="Calibri" w:cs="Times New Roman"/>
      <w:szCs w:val="24"/>
    </w:rPr>
  </w:style>
  <w:style w:type="paragraph" w:styleId="1">
    <w:name w:val="heading 1"/>
    <w:basedOn w:val="a"/>
    <w:next w:val="a"/>
    <w:link w:val="1Char"/>
    <w:qFormat/>
    <w:rsid w:val="005E2747"/>
    <w:pPr>
      <w:keepNext/>
      <w:keepLines/>
      <w:spacing w:before="340" w:after="330" w:line="576" w:lineRule="auto"/>
      <w:jc w:val="center"/>
      <w:outlineLvl w:val="0"/>
    </w:pPr>
    <w:rPr>
      <w:rFonts w:cs="宋体"/>
      <w:b/>
      <w:bCs/>
      <w:kern w:val="44"/>
      <w:sz w:val="44"/>
      <w:szCs w:val="44"/>
    </w:rPr>
  </w:style>
  <w:style w:type="paragraph" w:styleId="2">
    <w:name w:val="heading 2"/>
    <w:basedOn w:val="a"/>
    <w:next w:val="a"/>
    <w:link w:val="2Char"/>
    <w:semiHidden/>
    <w:unhideWhenUsed/>
    <w:qFormat/>
    <w:rsid w:val="005E2747"/>
    <w:pPr>
      <w:keepNext/>
      <w:keepLines/>
      <w:spacing w:before="260" w:after="260" w:line="415" w:lineRule="auto"/>
      <w:jc w:val="center"/>
      <w:outlineLvl w:val="1"/>
    </w:pPr>
    <w:rPr>
      <w:rFonts w:ascii="Cambria" w:eastAsia="黑体" w:hAnsi="Cambria" w:cs="宋体"/>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2747"/>
    <w:rPr>
      <w:rFonts w:ascii="Calibri" w:eastAsia="宋体" w:hAnsi="Calibri" w:cs="宋体"/>
      <w:b/>
      <w:bCs/>
      <w:kern w:val="44"/>
      <w:sz w:val="44"/>
      <w:szCs w:val="44"/>
    </w:rPr>
  </w:style>
  <w:style w:type="character" w:customStyle="1" w:styleId="2Char">
    <w:name w:val="标题 2 Char"/>
    <w:basedOn w:val="a0"/>
    <w:link w:val="2"/>
    <w:semiHidden/>
    <w:rsid w:val="005E2747"/>
    <w:rPr>
      <w:rFonts w:ascii="Cambria" w:eastAsia="黑体" w:hAnsi="Cambria" w:cs="宋体"/>
      <w:bCs/>
      <w:sz w:val="30"/>
      <w:szCs w:val="32"/>
    </w:rPr>
  </w:style>
  <w:style w:type="character" w:styleId="a3">
    <w:name w:val="Strong"/>
    <w:qFormat/>
    <w:rsid w:val="005E2747"/>
    <w:rPr>
      <w:rFonts w:ascii="Times New Roman" w:hAnsi="Times New Roman" w:cs="Times New Roman" w:hint="default"/>
      <w:b/>
      <w:bCs/>
    </w:rPr>
  </w:style>
  <w:style w:type="paragraph" w:customStyle="1" w:styleId="ListParagraph">
    <w:name w:val="List Paragraph"/>
    <w:basedOn w:val="a"/>
    <w:qFormat/>
    <w:rsid w:val="005E2747"/>
    <w:pPr>
      <w:spacing w:line="400" w:lineRule="atLeast"/>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9975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Words>
  <Characters>1001</Characters>
  <Application>Microsoft Office Word</Application>
  <DocSecurity>0</DocSecurity>
  <Lines>8</Lines>
  <Paragraphs>2</Paragraphs>
  <ScaleCrop>false</ScaleCrop>
  <Company>Chinese ORG</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陈静敏</dc:creator>
  <cp:lastModifiedBy>陈静敏</cp:lastModifiedBy>
  <cp:revision>1</cp:revision>
  <dcterms:created xsi:type="dcterms:W3CDTF">2019-08-27T01:01:00Z</dcterms:created>
  <dcterms:modified xsi:type="dcterms:W3CDTF">2019-08-27T01:04:00Z</dcterms:modified>
</cp:coreProperties>
</file>