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 w:eastAsia="楷体_GB2312" w:cs="Arial"/>
          <w:b/>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一</w:t>
      </w:r>
      <w:r>
        <w:rPr>
          <w:rFonts w:hint="eastAsia" w:ascii="楷体_GB2312" w:hAnsi="楷体" w:eastAsia="楷体_GB2312" w:cs="Arial"/>
          <w:b/>
          <w:sz w:val="32"/>
          <w:szCs w:val="32"/>
          <w:shd w:val="clear" w:color="auto" w:fill="FFFFFF"/>
        </w:rPr>
        <w:t>）氟苯尼考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氟苯尼考又称氟甲砜霉素，是农业部批准使用的动物专用抗菌药，主要用于敏感细菌所致的猪、鸡、鱼的细菌性疾病。</w:t>
      </w:r>
      <w:r>
        <w:rPr>
          <w:rFonts w:hint="eastAsia" w:ascii="仿宋_GB2312" w:hAnsi="仿宋" w:eastAsia="仿宋_GB2312"/>
          <w:sz w:val="32"/>
          <w:szCs w:val="32"/>
        </w:rPr>
        <w:t>《食品安全国家标准 食品中兽药最大残留限量》（GB 31650-2019）中均</w:t>
      </w:r>
      <w:r>
        <w:rPr>
          <w:rFonts w:hint="eastAsia" w:ascii="仿宋_GB2312" w:hAnsi="仿宋" w:eastAsia="仿宋_GB2312" w:cs="仿宋"/>
          <w:sz w:val="32"/>
          <w:szCs w:val="32"/>
        </w:rPr>
        <w:t>规定，氟苯尼考可用于猪、牛、羊、禽、鱼等，但在产蛋期家禽中禁用（鸡蛋、</w:t>
      </w:r>
      <w:r>
        <w:rPr>
          <w:rFonts w:hint="eastAsia" w:ascii="仿宋_GB2312" w:hAnsi="仿宋" w:cs="仿宋"/>
          <w:color w:val="auto"/>
          <w:sz w:val="32"/>
          <w:szCs w:val="32"/>
          <w:lang w:eastAsia="zh-CN"/>
        </w:rPr>
        <w:t>鸭</w:t>
      </w:r>
      <w:r>
        <w:rPr>
          <w:rFonts w:hint="eastAsia" w:ascii="仿宋_GB2312" w:hAnsi="仿宋" w:eastAsia="仿宋_GB2312" w:cs="仿宋"/>
          <w:color w:val="auto"/>
          <w:sz w:val="32"/>
          <w:szCs w:val="32"/>
        </w:rPr>
        <w:t>蛋</w:t>
      </w:r>
      <w:r>
        <w:rPr>
          <w:rFonts w:hint="eastAsia" w:ascii="仿宋_GB2312" w:hAnsi="仿宋" w:cs="仿宋"/>
          <w:color w:val="auto"/>
          <w:sz w:val="32"/>
          <w:szCs w:val="32"/>
          <w:lang w:eastAsia="zh-CN"/>
        </w:rPr>
        <w:t>等</w:t>
      </w:r>
      <w:r>
        <w:rPr>
          <w:rFonts w:hint="eastAsia" w:ascii="仿宋_GB2312" w:hAnsi="仿宋" w:eastAsia="仿宋_GB2312" w:cs="仿宋"/>
          <w:color w:val="auto"/>
          <w:sz w:val="32"/>
          <w:szCs w:val="32"/>
        </w:rPr>
        <w:t>中</w:t>
      </w:r>
      <w:r>
        <w:rPr>
          <w:rFonts w:hint="eastAsia" w:ascii="仿宋_GB2312" w:hAnsi="仿宋" w:eastAsia="仿宋_GB2312" w:cs="仿宋"/>
          <w:sz w:val="32"/>
          <w:szCs w:val="32"/>
        </w:rPr>
        <w:t>不得检出）。正常情况下消费者不必对禽蛋中检出氟苯尼考过于担心，但长期食用氟苯尼考残留超标的蛋品，对人体健康有一定风险。</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楷体_GB2312" w:hAnsi="楷体" w:eastAsia="楷体_GB2312"/>
          <w:b/>
          <w:color w:val="auto"/>
          <w:sz w:val="32"/>
          <w:szCs w:val="32"/>
          <w:lang w:val="en-US" w:eastAsia="zh-CN"/>
        </w:rPr>
      </w:pPr>
      <w:r>
        <w:rPr>
          <w:rFonts w:hint="eastAsia" w:ascii="楷体_GB2312" w:hAnsi="楷体" w:eastAsia="楷体_GB2312"/>
          <w:b/>
          <w:color w:val="auto"/>
          <w:sz w:val="32"/>
          <w:szCs w:val="32"/>
          <w:lang w:val="en-US" w:eastAsia="zh-CN"/>
        </w:rPr>
        <w:t>（二）苯甲酸及其钠盐</w:t>
      </w:r>
    </w:p>
    <w:p>
      <w:pPr>
        <w:keepNext w:val="0"/>
        <w:keepLines w:val="0"/>
        <w:pageBreakBefore w:val="0"/>
        <w:kinsoku/>
        <w:wordWrap/>
        <w:overflowPunct/>
        <w:topLinePunct w:val="0"/>
        <w:autoSpaceDE/>
        <w:bidi w:val="0"/>
        <w:adjustRightInd/>
        <w:snapToGrid/>
        <w:spacing w:line="560" w:lineRule="exact"/>
        <w:ind w:firstLine="640" w:firstLineChars="200"/>
        <w:jc w:val="left"/>
        <w:textAlignment w:val="baseline"/>
        <w:rPr>
          <w:rFonts w:hint="eastAsia" w:ascii="仿宋_GB2312" w:hAnsi="仿宋" w:eastAsia="仿宋_GB2312"/>
          <w:sz w:val="32"/>
          <w:szCs w:val="32"/>
        </w:rPr>
      </w:pPr>
      <w:r>
        <w:rPr>
          <w:rFonts w:hint="eastAsia" w:ascii="仿宋_GB2312" w:hAnsi="仿宋" w:eastAsia="仿宋_GB2312"/>
          <w:sz w:val="32"/>
          <w:szCs w:val="32"/>
        </w:rPr>
        <w:t>苯甲酸及其钠盐是食品工业中常见的一种防腐保鲜剂，对霉菌、酵母和细菌有较好的抑制作用。《食品安全国家标准</w:t>
      </w:r>
      <w:r>
        <w:rPr>
          <w:rFonts w:hint="eastAsia" w:ascii="仿宋_GB2312" w:hAnsi="仿宋"/>
          <w:sz w:val="32"/>
          <w:szCs w:val="32"/>
          <w:lang w:val="en-US" w:eastAsia="zh-CN"/>
        </w:rPr>
        <w:t xml:space="preserve"> </w:t>
      </w:r>
      <w:r>
        <w:rPr>
          <w:rFonts w:hint="eastAsia" w:ascii="仿宋_GB2312" w:hAnsi="仿宋" w:eastAsia="仿宋_GB2312"/>
          <w:color w:val="auto"/>
          <w:sz w:val="32"/>
          <w:szCs w:val="32"/>
        </w:rPr>
        <w:t>食</w:t>
      </w:r>
      <w:r>
        <w:rPr>
          <w:rFonts w:hint="eastAsia" w:ascii="仿宋_GB2312" w:hAnsi="仿宋" w:eastAsia="仿宋_GB2312"/>
          <w:sz w:val="32"/>
          <w:szCs w:val="32"/>
        </w:rPr>
        <w:t>品添加剂使用标准》（GB 2760-2014）中规定，</w:t>
      </w:r>
      <w:r>
        <w:rPr>
          <w:rFonts w:hint="eastAsia" w:ascii="仿宋_GB2312" w:hAnsi="仿宋"/>
          <w:sz w:val="32"/>
          <w:szCs w:val="32"/>
          <w:lang w:eastAsia="zh-CN"/>
        </w:rPr>
        <w:t>发酵</w:t>
      </w:r>
      <w:r>
        <w:rPr>
          <w:rFonts w:hint="eastAsia" w:ascii="仿宋_GB2312" w:hAnsi="仿宋" w:eastAsia="仿宋_GB2312"/>
          <w:sz w:val="32"/>
          <w:szCs w:val="32"/>
        </w:rPr>
        <w:t>面制品中不得使用苯甲酸及其钠盐（以苯甲酸计）。苯甲酸及其钠盐的安全性较高，少量苯甲酸对人体无毒害，可随尿液排出体外，在人体内不会蓄积，但人体若长期过量食入苯甲酸超标的食品可能会对肝脏功能产生一定影响。</w:t>
      </w:r>
    </w:p>
    <w:p>
      <w:pPr>
        <w:keepNext w:val="0"/>
        <w:keepLines w:val="0"/>
        <w:pageBreakBefore w:val="0"/>
        <w:kinsoku/>
        <w:wordWrap/>
        <w:overflowPunct/>
        <w:topLinePunct w:val="0"/>
        <w:autoSpaceDE/>
        <w:bidi w:val="0"/>
        <w:adjustRightInd/>
        <w:snapToGrid/>
        <w:spacing w:line="560" w:lineRule="exact"/>
        <w:ind w:firstLine="643" w:firstLineChars="200"/>
        <w:rPr>
          <w:rFonts w:ascii="楷体_GB2312" w:hAnsi="楷体" w:eastAsia="楷体_GB2312" w:cs="楷体"/>
          <w:b/>
          <w:bCs/>
          <w:sz w:val="32"/>
          <w:szCs w:val="32"/>
          <w:shd w:val="clear" w:color="auto" w:fill="FFFFFF"/>
        </w:rPr>
      </w:pPr>
      <w:r>
        <w:rPr>
          <w:rFonts w:hint="eastAsia" w:ascii="楷体_GB2312" w:hAnsi="楷体" w:eastAsia="楷体_GB2312" w:cs="Arial"/>
          <w:b/>
          <w:sz w:val="32"/>
          <w:szCs w:val="32"/>
          <w:shd w:val="clear" w:color="auto" w:fill="FFFFFF"/>
        </w:rPr>
        <w:t>（</w:t>
      </w:r>
      <w:r>
        <w:rPr>
          <w:rFonts w:hint="eastAsia" w:ascii="楷体_GB2312" w:hAnsi="楷体" w:eastAsia="楷体_GB2312" w:cs="Arial"/>
          <w:b/>
          <w:sz w:val="32"/>
          <w:szCs w:val="32"/>
          <w:shd w:val="clear" w:color="auto" w:fill="FFFFFF"/>
          <w:lang w:eastAsia="zh-CN"/>
        </w:rPr>
        <w:t>三</w:t>
      </w:r>
      <w:r>
        <w:rPr>
          <w:rFonts w:hint="eastAsia" w:ascii="楷体_GB2312" w:hAnsi="楷体" w:eastAsia="楷体_GB2312" w:cs="Arial"/>
          <w:b/>
          <w:sz w:val="32"/>
          <w:szCs w:val="32"/>
          <w:shd w:val="clear" w:color="auto" w:fill="FFFFFF"/>
        </w:rPr>
        <w:t>）氧氟沙星</w:t>
      </w:r>
    </w:p>
    <w:p>
      <w:pPr>
        <w:keepNext w:val="0"/>
        <w:keepLines w:val="0"/>
        <w:pageBreakBefore w:val="0"/>
        <w:kinsoku/>
        <w:wordWrap/>
        <w:overflowPunct/>
        <w:topLinePunct w:val="0"/>
        <w:autoSpaceDE/>
        <w:bidi w:val="0"/>
        <w:adjustRightInd/>
        <w:snapToGrid/>
        <w:spacing w:line="560" w:lineRule="exact"/>
        <w:ind w:firstLine="640" w:firstLineChars="200"/>
        <w:jc w:val="left"/>
      </w:pPr>
      <w:r>
        <w:rPr>
          <w:rFonts w:hint="eastAsia" w:ascii="仿宋_GB2312" w:hAnsi="仿宋" w:eastAsia="仿宋_GB2312"/>
          <w:sz w:val="32"/>
          <w:szCs w:val="32"/>
        </w:rPr>
        <w:t>氧氟沙星属于氟喹诺酮类药物，因抗菌谱广、抗菌活性强等曾被广泛用于畜禽细菌性疾病的治疗和预防。《发布在食品动物中停止使用洛美沙星、培氟沙星、氧氟沙星、诺氟沙星4种兽药的决定》（农业部公告第2292号）中规定，自2016年12月31日起，停止经营、使用用于食品动物的包括氧氟沙星在内的4种原料药的各种盐、酯及其各种制剂。氧氟沙星残留在人体中蓄积，可能引起人体耐药性，长期摄入氧氟沙星超标的动物性食品，可引起轻度胃肠道刺激或不适以及头痛、头晕、睡眠不良等症状，大剂量还可能引起肝损害。</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 w:eastAsia="楷体_GB2312" w:cs="仿宋_GB2312"/>
          <w:b/>
          <w:color w:val="000000" w:themeColor="text1"/>
          <w:sz w:val="32"/>
          <w:szCs w:val="32"/>
          <w:lang w:eastAsia="zh-CN"/>
          <w14:textFill>
            <w14:solidFill>
              <w14:schemeClr w14:val="tx1"/>
            </w14:solidFill>
          </w14:textFill>
        </w:rPr>
      </w:pPr>
      <w:r>
        <w:rPr>
          <w:rFonts w:hint="eastAsia" w:ascii="楷体_GB2312" w:hAnsi="楷体" w:eastAsia="楷体_GB2312" w:cs="仿宋_GB2312"/>
          <w:b/>
          <w:color w:val="000000" w:themeColor="text1"/>
          <w:sz w:val="32"/>
          <w:szCs w:val="32"/>
          <w:lang w:eastAsia="zh-CN"/>
          <w14:textFill>
            <w14:solidFill>
              <w14:schemeClr w14:val="tx1"/>
            </w14:solidFill>
          </w14:textFill>
        </w:rPr>
        <w:t>（四）啶虫脒</w:t>
      </w:r>
    </w:p>
    <w:p>
      <w:pPr>
        <w:pStyle w:val="2"/>
        <w:keepNext w:val="0"/>
        <w:keepLines w:val="0"/>
        <w:pageBreakBefore w:val="0"/>
        <w:kinsoku/>
        <w:wordWrap/>
        <w:overflowPunct/>
        <w:topLinePunct w:val="0"/>
        <w:autoSpaceDE/>
        <w:bidi w:val="0"/>
        <w:adjustRightInd/>
        <w:snapToGrid/>
        <w:spacing w:after="0" w:line="560" w:lineRule="exact"/>
        <w:ind w:left="0" w:leftChars="0"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zh-CN" w:eastAsia="zh-CN" w:bidi="ar-SA"/>
        </w:rPr>
        <w:t>啶虫脒属硝基亚甲基杂环类化合物，是一种新型杀虫剂。该产品具有较强的触杀和渗透作用，残效期长，对黄瓜、苹果树、柑橘树的蚜虫有较好的防治效果。《食品安全国家标准</w:t>
      </w:r>
      <w:r>
        <w:rPr>
          <w:rFonts w:hint="eastAsia" w:ascii="仿宋_GB2312" w:hAnsi="仿宋" w:cs="Times New Roman"/>
          <w:color w:val="auto"/>
          <w:kern w:val="2"/>
          <w:sz w:val="32"/>
          <w:szCs w:val="32"/>
          <w:lang w:val="en-US" w:eastAsia="zh-CN" w:bidi="ar-SA"/>
        </w:rPr>
        <w:t xml:space="preserve"> </w:t>
      </w:r>
      <w:r>
        <w:rPr>
          <w:rFonts w:hint="eastAsia" w:ascii="仿宋_GB2312" w:hAnsi="仿宋" w:eastAsia="仿宋_GB2312" w:cs="Times New Roman"/>
          <w:color w:val="auto"/>
          <w:kern w:val="2"/>
          <w:sz w:val="32"/>
          <w:szCs w:val="32"/>
          <w:lang w:val="zh-CN" w:eastAsia="zh-CN" w:bidi="ar-SA"/>
        </w:rPr>
        <w:t>食</w:t>
      </w:r>
      <w:r>
        <w:rPr>
          <w:rFonts w:hint="eastAsia" w:ascii="仿宋_GB2312" w:hAnsi="仿宋" w:eastAsia="仿宋_GB2312" w:cs="Times New Roman"/>
          <w:kern w:val="2"/>
          <w:sz w:val="32"/>
          <w:szCs w:val="32"/>
          <w:lang w:val="zh-CN" w:eastAsia="zh-CN" w:bidi="ar-SA"/>
        </w:rPr>
        <w:t>品中农药最大残留限量》（GB 2763—201</w:t>
      </w:r>
      <w:r>
        <w:rPr>
          <w:rFonts w:hint="eastAsia" w:ascii="仿宋_GB2312" w:hAnsi="仿宋" w:eastAsia="仿宋_GB2312" w:cs="Times New Roman"/>
          <w:kern w:val="2"/>
          <w:sz w:val="32"/>
          <w:szCs w:val="32"/>
          <w:lang w:val="en-US" w:eastAsia="zh-CN" w:bidi="ar-SA"/>
        </w:rPr>
        <w:t>9</w:t>
      </w:r>
      <w:r>
        <w:rPr>
          <w:rFonts w:hint="eastAsia" w:ascii="仿宋_GB2312" w:hAnsi="仿宋" w:eastAsia="仿宋_GB2312" w:cs="Times New Roman"/>
          <w:kern w:val="2"/>
          <w:sz w:val="32"/>
          <w:szCs w:val="32"/>
          <w:lang w:val="zh-CN" w:eastAsia="zh-CN" w:bidi="ar-SA"/>
        </w:rPr>
        <w:t>）中规定，普通白菜中啶虫脒</w:t>
      </w:r>
      <w:r>
        <w:rPr>
          <w:rFonts w:hint="eastAsia" w:ascii="仿宋_GB2312" w:hAnsi="仿宋" w:cs="Times New Roman"/>
          <w:kern w:val="2"/>
          <w:sz w:val="32"/>
          <w:szCs w:val="32"/>
          <w:lang w:val="zh-CN" w:eastAsia="zh-CN" w:bidi="ar-SA"/>
        </w:rPr>
        <w:t>应</w:t>
      </w:r>
      <w:r>
        <w:rPr>
          <w:rFonts w:hint="eastAsia" w:ascii="仿宋_GB2312" w:hAnsi="仿宋" w:eastAsia="仿宋_GB2312"/>
          <w:sz w:val="32"/>
          <w:szCs w:val="32"/>
        </w:rPr>
        <w:t>≤</w:t>
      </w:r>
      <w:r>
        <w:rPr>
          <w:rFonts w:hint="eastAsia" w:ascii="仿宋_GB2312" w:hAnsi="仿宋" w:eastAsia="仿宋_GB2312" w:cs="Times New Roman"/>
          <w:kern w:val="2"/>
          <w:sz w:val="32"/>
          <w:szCs w:val="32"/>
          <w:lang w:val="en-US" w:eastAsia="zh-CN" w:bidi="ar-SA"/>
        </w:rPr>
        <w:t>1</w:t>
      </w:r>
      <w:r>
        <w:rPr>
          <w:rFonts w:hint="eastAsia" w:ascii="仿宋_GB2312" w:hAnsi="仿宋" w:eastAsia="仿宋_GB2312" w:cs="Times New Roman"/>
          <w:kern w:val="2"/>
          <w:sz w:val="32"/>
          <w:szCs w:val="32"/>
          <w:lang w:val="zh-CN" w:eastAsia="zh-CN" w:bidi="ar-SA"/>
        </w:rPr>
        <w:t>mg/kg。啶虫脒对人畜低毒，少量的农药残留不会引起人体急性中毒，但长期食用农药残留超标的食品，对人体健康有一定影响。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Arial"/>
          <w:b/>
          <w:color w:val="0000FF"/>
          <w:sz w:val="32"/>
          <w:szCs w:val="32"/>
          <w:shd w:val="clear" w:color="auto" w:fill="FFFFFF"/>
          <w:lang w:eastAsia="zh-CN"/>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五</w:t>
      </w:r>
      <w:r>
        <w:rPr>
          <w:rFonts w:hint="eastAsia" w:ascii="楷体_GB2312" w:hAnsi="楷体" w:eastAsia="楷体_GB2312" w:cs="仿宋_GB2312"/>
          <w:b/>
          <w:color w:val="000000"/>
          <w:sz w:val="32"/>
          <w:szCs w:val="32"/>
        </w:rPr>
        <w:t>）</w:t>
      </w:r>
      <w:r>
        <w:rPr>
          <w:rFonts w:hint="eastAsia" w:ascii="楷体_GB2312" w:hAnsi="楷体" w:eastAsia="楷体_GB2312" w:cs="Arial"/>
          <w:b/>
          <w:sz w:val="32"/>
          <w:szCs w:val="32"/>
          <w:shd w:val="clear" w:color="auto" w:fill="FFFFFF"/>
        </w:rPr>
        <w:t>恩诺沙星</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恩诺沙星为广谱杀菌药，对支原体有特效，对大肠杆菌、克雷白杆菌、沙门氏菌、变形杆菌、绿脓杆菌、嗜血杆菌、多杀性巴氏杆菌、溶血性巴氏杆菌、金葡菌、链球菌等都有杀菌效果。《食品安全国家标准 食品中兽药最大残留限量》（GB 31650-2019）中规定，</w:t>
      </w:r>
      <w:r>
        <w:rPr>
          <w:rFonts w:hint="eastAsia" w:ascii="仿宋_GB2312" w:eastAsia="仿宋_GB2312"/>
          <w:sz w:val="32"/>
          <w:szCs w:val="32"/>
        </w:rPr>
        <w:t>恩诺沙星可用于猪、牛、羊、兔、鱼等食用畜禽、水产动物，其中水产品、家禽肌肉中恩诺沙星(以恩诺沙星与环丙沙星之和计)应≤100μg/kg</w:t>
      </w:r>
      <w:r>
        <w:rPr>
          <w:rFonts w:hint="eastAsia" w:ascii="仿宋_GB2312"/>
          <w:sz w:val="32"/>
          <w:szCs w:val="32"/>
          <w:lang w:eastAsia="zh-CN"/>
        </w:rPr>
        <w:t>。</w:t>
      </w:r>
      <w:r>
        <w:rPr>
          <w:rFonts w:hint="eastAsia" w:ascii="仿宋_GB2312" w:hAnsi="仿宋" w:eastAsia="仿宋_GB2312" w:cs="Times New Roman"/>
          <w:color w:val="auto"/>
          <w:kern w:val="2"/>
          <w:sz w:val="32"/>
          <w:szCs w:val="32"/>
          <w:lang w:val="en-US" w:eastAsia="zh-CN" w:bidi="ar-SA"/>
        </w:rPr>
        <w:t>老年人、儿童及低免疫力人群摄入较多恩诺沙星不合格的产品，可引起轻度胃肠道不适、头痛、头晕等症状，并产生耐药性。</w:t>
      </w:r>
    </w:p>
    <w:p>
      <w:pPr>
        <w:keepNext w:val="0"/>
        <w:keepLines w:val="0"/>
        <w:pageBreakBefore w:val="0"/>
        <w:kinsoku/>
        <w:wordWrap/>
        <w:overflowPunct/>
        <w:topLinePunct w:val="0"/>
        <w:autoSpaceDE/>
        <w:bidi w:val="0"/>
        <w:adjustRightInd/>
        <w:snapToGrid/>
        <w:spacing w:line="560" w:lineRule="exact"/>
        <w:ind w:left="0" w:leftChars="0"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六</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sz w:val="32"/>
          <w:szCs w:val="32"/>
        </w:rPr>
        <w:t>二氧化硫残留量</w:t>
      </w:r>
    </w:p>
    <w:p>
      <w:pPr>
        <w:keepNext w:val="0"/>
        <w:keepLines w:val="0"/>
        <w:pageBreakBefore w:val="0"/>
        <w:kinsoku/>
        <w:wordWrap/>
        <w:overflowPunct/>
        <w:topLinePunct w:val="0"/>
        <w:autoSpaceDE/>
        <w:bidi w:val="0"/>
        <w:adjustRightInd/>
        <w:snapToGrid/>
        <w:spacing w:line="560" w:lineRule="exact"/>
        <w:ind w:firstLine="640" w:firstLineChars="200"/>
      </w:pPr>
      <w:r>
        <w:rPr>
          <w:rFonts w:hint="eastAsia" w:ascii="仿宋_GB2312" w:hAnsi="仿宋" w:eastAsia="仿宋_GB2312" w:cs="宋体"/>
          <w:color w:val="000000"/>
          <w:kern w:val="0"/>
          <w:sz w:val="32"/>
          <w:szCs w:val="32"/>
        </w:rPr>
        <w:t>食品中的二氧化硫残留通常是指二氧化硫、硫磺以及焦亚硫酸钠、焦亚硫酸钾、亚硫酸钠</w:t>
      </w:r>
      <w:r>
        <w:rPr>
          <w:rFonts w:hint="eastAsia" w:ascii="仿宋_GB2312" w:hAnsi="仿宋" w:eastAsia="仿宋_GB2312" w:cs="宋体"/>
          <w:kern w:val="0"/>
          <w:sz w:val="32"/>
          <w:szCs w:val="32"/>
        </w:rPr>
        <w:t>、亚</w:t>
      </w:r>
      <w:r>
        <w:rPr>
          <w:rFonts w:hint="eastAsia" w:ascii="仿宋_GB2312" w:hAnsi="仿宋" w:eastAsia="仿宋_GB2312" w:cs="宋体"/>
          <w:color w:val="000000"/>
          <w:kern w:val="0"/>
          <w:sz w:val="32"/>
          <w:szCs w:val="32"/>
        </w:rPr>
        <w:t>硫酸氢钠、低亚硫酸钠等无机亚硫酸盐残留的统称。</w:t>
      </w:r>
      <w:r>
        <w:rPr>
          <w:rFonts w:hint="eastAsia" w:ascii="仿宋_GB2312" w:hAnsi="仿宋" w:eastAsia="仿宋_GB2312"/>
          <w:sz w:val="32"/>
          <w:szCs w:val="32"/>
        </w:rPr>
        <w:t>《食品安全国家标准 食品添加剂使用标准》（GB 2760-2014）中规定，干制蔬菜中二氧化硫残留量应≤0.2g/kg</w:t>
      </w:r>
      <w:r>
        <w:rPr>
          <w:rFonts w:hint="eastAsia" w:ascii="仿宋_GB2312" w:hAnsi="仿宋"/>
          <w:sz w:val="32"/>
          <w:szCs w:val="32"/>
          <w:lang w:eastAsia="zh-CN"/>
        </w:rPr>
        <w:t>，</w:t>
      </w:r>
      <w:r>
        <w:rPr>
          <w:rFonts w:hint="eastAsia" w:ascii="仿宋_GB2312" w:hAnsi="仿宋" w:eastAsia="仿宋_GB2312"/>
          <w:sz w:val="32"/>
          <w:szCs w:val="32"/>
          <w:lang w:val="en-US" w:eastAsia="zh-CN"/>
        </w:rPr>
        <w:t>干制的食用菌和藻类</w:t>
      </w:r>
      <w:r>
        <w:rPr>
          <w:rFonts w:hint="eastAsia" w:ascii="仿宋_GB2312" w:hAnsi="仿宋" w:eastAsia="仿宋_GB2312"/>
          <w:sz w:val="32"/>
          <w:szCs w:val="32"/>
        </w:rPr>
        <w:t>中二氧化硫残留量应≤0.</w:t>
      </w:r>
      <w:r>
        <w:rPr>
          <w:rFonts w:hint="eastAsia" w:ascii="仿宋_GB2312" w:hAnsi="仿宋" w:eastAsia="仿宋_GB2312"/>
          <w:sz w:val="32"/>
          <w:szCs w:val="32"/>
          <w:lang w:val="en-US" w:eastAsia="zh-CN"/>
        </w:rPr>
        <w:t>05</w:t>
      </w:r>
      <w:r>
        <w:rPr>
          <w:rFonts w:hint="eastAsia" w:ascii="仿宋_GB2312" w:hAnsi="仿宋" w:eastAsia="仿宋_GB2312"/>
          <w:sz w:val="32"/>
          <w:szCs w:val="32"/>
        </w:rPr>
        <w:t>g/kg。</w:t>
      </w:r>
      <w:r>
        <w:rPr>
          <w:rFonts w:hint="eastAsia" w:ascii="仿宋_GB2312" w:hAnsi="仿宋" w:eastAsia="仿宋_GB2312" w:cs="宋体"/>
          <w:kern w:val="0"/>
          <w:sz w:val="32"/>
          <w:szCs w:val="32"/>
        </w:rPr>
        <w:t>对二氧化硫有过敏反应的人（如哮喘病患者等</w:t>
      </w:r>
      <w:r>
        <w:rPr>
          <w:rFonts w:hint="eastAsia" w:ascii="仿宋_GB2312" w:hAnsi="仿宋" w:eastAsia="仿宋_GB2312" w:cs="宋体"/>
          <w:color w:val="000000"/>
          <w:kern w:val="0"/>
          <w:sz w:val="32"/>
          <w:szCs w:val="32"/>
        </w:rPr>
        <w:t>）</w:t>
      </w:r>
      <w:r>
        <w:rPr>
          <w:rFonts w:hint="eastAsia" w:ascii="仿宋_GB2312" w:hAnsi="仿宋" w:eastAsia="仿宋_GB2312" w:cs="宋体"/>
          <w:kern w:val="0"/>
          <w:sz w:val="32"/>
          <w:szCs w:val="32"/>
        </w:rPr>
        <w:t>若食用二氧化硫超标的食物</w:t>
      </w:r>
      <w:r>
        <w:rPr>
          <w:rFonts w:hint="eastAsia" w:ascii="仿宋_GB2312" w:hAnsi="仿宋" w:eastAsia="仿宋_GB2312" w:cs="宋体"/>
          <w:color w:val="000000"/>
          <w:kern w:val="0"/>
          <w:sz w:val="32"/>
          <w:szCs w:val="32"/>
        </w:rPr>
        <w:t>，可能会出现气喘、头痛或恶心等过敏症状。若长期大量摄入二氧化硫残留超标的食品，则可能对人体健康造成危害，其毒性表现为胃肠道反应，如恶心、呕吐等。此外，还会影响钙吸收，使机体钙丢失。</w:t>
      </w:r>
    </w:p>
    <w:p>
      <w:pPr>
        <w:keepNext w:val="0"/>
        <w:keepLines w:val="0"/>
        <w:pageBreakBefore w:val="0"/>
        <w:widowControl/>
        <w:kinsoku/>
        <w:wordWrap/>
        <w:overflowPunct/>
        <w:topLinePunct w:val="0"/>
        <w:autoSpaceDE/>
        <w:bidi w:val="0"/>
        <w:adjustRightInd/>
        <w:snapToGrid/>
        <w:spacing w:line="560" w:lineRule="exact"/>
        <w:ind w:left="0" w:leftChars="0"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（七）</w:t>
      </w:r>
      <w:r>
        <w:rPr>
          <w:rFonts w:ascii="楷体_GB2312" w:hAnsi="宋体" w:eastAsia="楷体_GB2312" w:cs="宋体"/>
          <w:b/>
          <w:kern w:val="0"/>
          <w:sz w:val="32"/>
          <w:szCs w:val="32"/>
        </w:rPr>
        <w:t>呋喃西林代谢物</w:t>
      </w:r>
    </w:p>
    <w:p>
      <w:pPr>
        <w:keepNext w:val="0"/>
        <w:keepLines w:val="0"/>
        <w:pageBreakBefore w:val="0"/>
        <w:widowControl/>
        <w:kinsoku/>
        <w:wordWrap/>
        <w:overflowPunct/>
        <w:topLinePunct w:val="0"/>
        <w:autoSpaceDE/>
        <w:bidi w:val="0"/>
        <w:adjustRightInd/>
        <w:snapToGrid/>
        <w:spacing w:line="560" w:lineRule="exact"/>
        <w:ind w:left="0" w:leftChars="0"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呋喃西林是属于硝基呋喃类广谱抗生素，广泛应用于畜禽及水产养殖业。硝基呋喃类原型药在生物体内代谢迅速，和蛋白质结合而相当稳定，故常利用对其代谢物的检测来反应硝基呋喃类药物的残留状况。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仿宋_GB2312" w:hAnsi="宋体" w:cs="宋体"/>
          <w:kern w:val="0"/>
          <w:sz w:val="32"/>
          <w:szCs w:val="32"/>
          <w:lang w:eastAsia="zh-CN"/>
        </w:rPr>
        <w:t>《</w:t>
      </w:r>
      <w:r>
        <w:rPr>
          <w:rFonts w:hint="eastAsia" w:ascii="仿宋_GB2312" w:hAnsi="仿宋" w:eastAsia="仿宋_GB2312"/>
          <w:sz w:val="32"/>
          <w:szCs w:val="32"/>
        </w:rPr>
        <w:t>食品动物中禁止使用的药品及其他化合物清单》（农业农村部公告第250号）中规定</w:t>
      </w:r>
      <w:r>
        <w:rPr>
          <w:rFonts w:hint="eastAsia" w:ascii="仿宋_GB2312" w:hAnsi="宋体" w:eastAsia="仿宋_GB2312" w:cs="宋体"/>
          <w:kern w:val="0"/>
          <w:sz w:val="32"/>
          <w:szCs w:val="32"/>
          <w:lang w:eastAsia="zh-CN"/>
        </w:rPr>
        <w:t>硝基呋喃</w:t>
      </w:r>
      <w:r>
        <w:rPr>
          <w:rFonts w:ascii="仿宋_GB2312" w:hAnsi="宋体" w:eastAsia="仿宋_GB2312" w:cs="宋体"/>
          <w:kern w:val="0"/>
          <w:sz w:val="32"/>
          <w:szCs w:val="32"/>
        </w:rPr>
        <w:t>，在动物性食品中不得检出。硝基呋喃类药物及其代谢物可引起溶血性贫血、多发性神经炎、眼部损害和急性肝坏死等残疾而对人类健康造成危害，对人体有致癌、致畸胎副作用。</w:t>
      </w:r>
    </w:p>
    <w:p>
      <w:pPr>
        <w:keepNext w:val="0"/>
        <w:keepLines w:val="0"/>
        <w:pageBreakBefore w:val="0"/>
        <w:kinsoku/>
        <w:wordWrap/>
        <w:overflowPunct/>
        <w:topLinePunct w:val="0"/>
        <w:autoSpaceDE/>
        <w:bidi w:val="0"/>
        <w:adjustRightInd/>
        <w:snapToGrid/>
        <w:spacing w:line="560" w:lineRule="exact"/>
        <w:ind w:firstLine="643" w:firstLineChars="200"/>
        <w:rPr>
          <w:rFonts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八</w:t>
      </w:r>
      <w:r>
        <w:rPr>
          <w:rFonts w:hint="eastAsia" w:ascii="楷体_GB2312" w:hAnsi="楷体" w:eastAsia="楷体_GB2312" w:cs="楷体"/>
          <w:b/>
          <w:bCs/>
          <w:sz w:val="32"/>
          <w:szCs w:val="32"/>
          <w:shd w:val="clear" w:color="auto" w:fill="FFFFFF"/>
        </w:rPr>
        <w:t>）4-氯苯氧乙酸钠</w:t>
      </w:r>
    </w:p>
    <w:p>
      <w:pPr>
        <w:keepNext w:val="0"/>
        <w:keepLines w:val="0"/>
        <w:pageBreakBefore w:val="0"/>
        <w:numPr>
          <w:ilvl w:val="0"/>
          <w:numId w:val="1"/>
        </w:numPr>
        <w:kinsoku/>
        <w:wordWrap/>
        <w:overflowPunct/>
        <w:topLinePunct w:val="0"/>
        <w:autoSpaceDE/>
        <w:bidi w:val="0"/>
        <w:adjustRightInd/>
        <w:snapToGrid/>
        <w:spacing w:line="560" w:lineRule="exact"/>
        <w:ind w:firstLine="645"/>
        <w:rPr>
          <w:rFonts w:hint="eastAsia"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氯苯氧乙酸钠是一种植物生长调节剂，可以促进植物体内的生物合成和生物转移，不仅可防止落花落果、提高做果率、增进果实生长速度、促进提前成熟，还能达到改善植物品质的目的，</w:t>
      </w:r>
      <w:r>
        <w:rPr>
          <w:rFonts w:hint="eastAsia" w:ascii="仿宋_GB2312" w:hAnsi="仿宋" w:eastAsia="仿宋_GB2312" w:cs="Arial"/>
          <w:color w:val="auto"/>
          <w:sz w:val="32"/>
          <w:szCs w:val="32"/>
          <w:shd w:val="clear" w:color="auto" w:fill="FFFFFF"/>
        </w:rPr>
        <w:t>同时它还有除草剂的作用。但由于其对人体有一定积累毒性，国家已取消其作为食品添加剂的生产许可申请。</w:t>
      </w:r>
      <w:r>
        <w:rPr>
          <w:rFonts w:hint="eastAsia" w:ascii="仿宋_GB2312" w:hAnsi="仿宋" w:eastAsia="仿宋_GB2312"/>
          <w:color w:val="auto"/>
          <w:sz w:val="32"/>
          <w:szCs w:val="32"/>
        </w:rPr>
        <w:t>《关于豆芽生产过程中禁止使用 6-苄基腺嘌呤 等物质的公告》</w:t>
      </w:r>
      <w:r>
        <w:rPr>
          <w:rFonts w:hint="eastAsia" w:ascii="仿宋_GB2312" w:hAnsi="仿宋" w:eastAsia="仿宋_GB2312" w:cs="宋体"/>
          <w:color w:val="auto"/>
          <w:kern w:val="0"/>
          <w:sz w:val="32"/>
          <w:szCs w:val="32"/>
          <w:lang w:val="zh-CN"/>
        </w:rPr>
        <w:t>(</w:t>
      </w:r>
      <w:r>
        <w:rPr>
          <w:rFonts w:hint="eastAsia" w:ascii="仿宋_GB2312" w:hAnsi="仿宋" w:eastAsia="仿宋_GB2312"/>
          <w:color w:val="auto"/>
          <w:sz w:val="32"/>
          <w:szCs w:val="32"/>
        </w:rPr>
        <w:t>国家食品药品监督管理</w:t>
      </w:r>
      <w:r>
        <w:rPr>
          <w:rFonts w:hint="eastAsia" w:ascii="仿宋_GB2312" w:hAnsi="仿宋" w:eastAsia="仿宋_GB2312"/>
          <w:sz w:val="32"/>
          <w:szCs w:val="32"/>
        </w:rPr>
        <w:t>总局、农业部、国家卫 生和计划生育委员会公告 2015 年第 11 号</w:t>
      </w:r>
      <w:r>
        <w:rPr>
          <w:rFonts w:hint="eastAsia" w:ascii="仿宋_GB2312" w:hAnsi="仿宋" w:eastAsia="仿宋_GB2312" w:cs="宋体"/>
          <w:kern w:val="0"/>
          <w:sz w:val="32"/>
          <w:szCs w:val="32"/>
          <w:lang w:val="zh-CN"/>
        </w:rPr>
        <w:t>)</w:t>
      </w:r>
      <w:r>
        <w:rPr>
          <w:rFonts w:hint="eastAsia" w:ascii="仿宋_GB2312" w:hAnsi="仿宋" w:eastAsia="仿宋_GB2312" w:cs="宋体"/>
          <w:sz w:val="32"/>
          <w:szCs w:val="32"/>
        </w:rPr>
        <w:t>中要求，</w:t>
      </w:r>
      <w:r>
        <w:rPr>
          <w:rFonts w:hint="eastAsia" w:ascii="仿宋_GB2312" w:hAnsi="仿宋" w:eastAsia="仿宋_GB2312" w:cs="Arial"/>
          <w:sz w:val="32"/>
          <w:szCs w:val="32"/>
          <w:shd w:val="clear" w:color="auto" w:fill="FFFFFF"/>
        </w:rPr>
        <w:t>豆芽中不得检出4-氯苯氧乙酸。豆芽作为一种食用量非常大的蔬菜，4-氯苯氧乙酸钠的残留在人体内的累积所产生的有害作用不容忽视。</w:t>
      </w:r>
    </w:p>
    <w:p>
      <w:pPr>
        <w:keepNext w:val="0"/>
        <w:keepLines w:val="0"/>
        <w:pageBreakBefore w:val="0"/>
        <w:kinsoku/>
        <w:wordWrap/>
        <w:overflowPunct/>
        <w:topLinePunct w:val="0"/>
        <w:autoSpaceDE/>
        <w:bidi w:val="0"/>
        <w:adjustRightInd/>
        <w:snapToGrid/>
        <w:spacing w:line="560" w:lineRule="exact"/>
        <w:ind w:firstLine="643" w:firstLineChars="200"/>
        <w:rPr>
          <w:rFonts w:hint="eastAsia" w:ascii="楷体_GB2312" w:hAnsi="楷体" w:eastAsia="楷体_GB2312" w:cs="楷体"/>
          <w:b/>
          <w:bCs/>
          <w:sz w:val="32"/>
          <w:szCs w:val="32"/>
          <w:shd w:val="clear" w:color="auto" w:fill="FFFFFF"/>
        </w:rPr>
      </w:pPr>
      <w:r>
        <w:rPr>
          <w:rFonts w:hint="eastAsia" w:ascii="楷体_GB2312" w:hAnsi="楷体" w:eastAsia="楷体_GB2312" w:cs="楷体"/>
          <w:b/>
          <w:bCs/>
          <w:sz w:val="32"/>
          <w:szCs w:val="32"/>
          <w:shd w:val="clear" w:color="auto" w:fill="FFFFFF"/>
        </w:rPr>
        <w:t>（</w:t>
      </w:r>
      <w:r>
        <w:rPr>
          <w:rFonts w:hint="eastAsia" w:ascii="楷体_GB2312" w:hAnsi="楷体" w:eastAsia="楷体_GB2312" w:cs="楷体"/>
          <w:b/>
          <w:bCs/>
          <w:sz w:val="32"/>
          <w:szCs w:val="32"/>
          <w:shd w:val="clear" w:color="auto" w:fill="FFFFFF"/>
          <w:lang w:eastAsia="zh-CN"/>
        </w:rPr>
        <w:t>九</w:t>
      </w:r>
      <w:r>
        <w:rPr>
          <w:rFonts w:hint="eastAsia" w:ascii="楷体_GB2312" w:hAnsi="楷体" w:eastAsia="楷体_GB2312" w:cs="楷体"/>
          <w:b/>
          <w:bCs/>
          <w:sz w:val="32"/>
          <w:szCs w:val="32"/>
          <w:shd w:val="clear" w:color="auto" w:fill="FFFFFF"/>
        </w:rPr>
        <w:t>）6-苄基腺嘌呤</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704" w:firstLineChars="220"/>
        <w:rPr>
          <w:rFonts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6-苄基腺嘌呤是</w:t>
      </w:r>
      <w:r>
        <w:rPr>
          <w:rFonts w:ascii="仿宋_GB2312" w:hAnsi="仿宋" w:eastAsia="仿宋_GB2312" w:cs="Arial"/>
          <w:sz w:val="32"/>
          <w:szCs w:val="32"/>
          <w:shd w:val="clear" w:color="auto" w:fill="FFFFFF"/>
        </w:rPr>
        <w:t>一种广泛使用的添加于植物生长培养基的细胞分裂素。具有抑制植物叶内叶绿素、核酸、蛋白质的分解，保绿防老;将</w:t>
      </w:r>
      <w:r>
        <w:fldChar w:fldCharType="begin"/>
      </w:r>
      <w:r>
        <w:instrText xml:space="preserve"> HYPERLINK "https://baike.so.com/doc/914377-966548.html" \t "_blank" </w:instrText>
      </w:r>
      <w:r>
        <w:fldChar w:fldCharType="separate"/>
      </w:r>
      <w:r>
        <w:rPr>
          <w:rFonts w:ascii="仿宋_GB2312" w:hAnsi="仿宋" w:eastAsia="仿宋_GB2312"/>
          <w:sz w:val="32"/>
          <w:szCs w:val="32"/>
        </w:rPr>
        <w:t>氨基酸</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w:t>
      </w:r>
      <w:r>
        <w:fldChar w:fldCharType="begin"/>
      </w:r>
      <w:r>
        <w:instrText xml:space="preserve"> HYPERLINK "https://baike.so.com/doc/626543-663171.html" \t "_blank" </w:instrText>
      </w:r>
      <w:r>
        <w:fldChar w:fldCharType="separate"/>
      </w:r>
      <w:r>
        <w:rPr>
          <w:rFonts w:ascii="仿宋_GB2312" w:hAnsi="仿宋" w:eastAsia="仿宋_GB2312"/>
          <w:sz w:val="32"/>
          <w:szCs w:val="32"/>
        </w:rPr>
        <w:t>生长素</w:t>
      </w:r>
      <w:r>
        <w:rPr>
          <w:rFonts w:ascii="仿宋_GB2312" w:hAnsi="仿宋" w:eastAsia="仿宋_GB2312"/>
          <w:sz w:val="32"/>
          <w:szCs w:val="32"/>
        </w:rPr>
        <w:fldChar w:fldCharType="end"/>
      </w:r>
      <w:r>
        <w:rPr>
          <w:rFonts w:ascii="仿宋_GB2312" w:hAnsi="仿宋" w:eastAsia="仿宋_GB2312" w:cs="Arial"/>
          <w:sz w:val="32"/>
          <w:szCs w:val="32"/>
          <w:shd w:val="clear" w:color="auto" w:fill="FFFFFF"/>
        </w:rPr>
        <w:t>、无机盐等向处理部位调运等多种效能，广泛用在农业、果树和园艺作物从发芽到收获的各个阶段</w:t>
      </w:r>
      <w:r>
        <w:rPr>
          <w:rFonts w:hint="eastAsia" w:ascii="仿宋_GB2312" w:hAnsi="仿宋" w:eastAsia="仿宋_GB2312" w:cs="Arial"/>
          <w:sz w:val="32"/>
          <w:szCs w:val="32"/>
          <w:shd w:val="clear" w:color="auto" w:fill="FFFFFF"/>
        </w:rPr>
        <w:t>。</w:t>
      </w:r>
      <w:r>
        <w:rPr>
          <w:rFonts w:hint="eastAsia" w:ascii="仿宋_GB2312" w:hAnsi="仿宋" w:eastAsia="仿宋_GB2312"/>
          <w:sz w:val="32"/>
          <w:szCs w:val="32"/>
        </w:rPr>
        <w:t>《关于豆芽生产过程中禁止使用 6-苄基腺嘌呤 等物质的公告》</w:t>
      </w:r>
      <w:r>
        <w:rPr>
          <w:rFonts w:hint="eastAsia" w:ascii="仿宋_GB2312" w:hAnsi="仿宋" w:eastAsia="仿宋_GB2312"/>
          <w:sz w:val="32"/>
          <w:szCs w:val="32"/>
          <w:lang w:val="zh-CN"/>
        </w:rPr>
        <w:t>(</w:t>
      </w:r>
      <w:r>
        <w:rPr>
          <w:rFonts w:hint="eastAsia" w:ascii="仿宋_GB2312" w:hAnsi="仿宋" w:eastAsia="仿宋_GB2312"/>
          <w:sz w:val="32"/>
          <w:szCs w:val="32"/>
        </w:rPr>
        <w:t>国家食品药品监督管理总局、农业部、国家卫 生和计划生育委员会公告 2015 年第 11 号</w:t>
      </w:r>
      <w:r>
        <w:rPr>
          <w:rFonts w:hint="eastAsia" w:ascii="仿宋_GB2312" w:hAnsi="仿宋" w:eastAsia="仿宋_GB2312"/>
          <w:sz w:val="32"/>
          <w:szCs w:val="32"/>
          <w:lang w:val="zh-CN"/>
        </w:rPr>
        <w:t>)</w:t>
      </w:r>
      <w:r>
        <w:rPr>
          <w:rFonts w:hint="eastAsia" w:ascii="仿宋_GB2312" w:hAnsi="仿宋" w:eastAsia="仿宋_GB2312"/>
          <w:sz w:val="32"/>
          <w:szCs w:val="32"/>
        </w:rPr>
        <w:t>中要求，</w:t>
      </w:r>
      <w:r>
        <w:rPr>
          <w:rFonts w:hint="eastAsia" w:ascii="仿宋_GB2312" w:hAnsi="仿宋" w:eastAsia="仿宋_GB2312" w:cs="Arial"/>
          <w:sz w:val="32"/>
          <w:szCs w:val="32"/>
          <w:shd w:val="clear" w:color="auto" w:fill="FFFFFF"/>
        </w:rPr>
        <w:t>豆芽中不得检出6-苄基腺嘌呤。</w:t>
      </w:r>
      <w:r>
        <w:rPr>
          <w:rFonts w:ascii="仿宋_GB2312" w:hAnsi="仿宋" w:eastAsia="仿宋_GB2312"/>
          <w:sz w:val="32"/>
          <w:szCs w:val="32"/>
        </w:rPr>
        <w:t>6-苄基腺嘌呤在豆芽中添加过量后，会导致儿童发育早熟，女性生理改变，老年人骨质疏松等，甚至有致癌可能</w:t>
      </w:r>
      <w:r>
        <w:rPr>
          <w:rFonts w:hint="eastAsia" w:ascii="仿宋_GB2312" w:hAnsi="仿宋" w:eastAsia="仿宋_GB2312"/>
          <w:sz w:val="32"/>
          <w:szCs w:val="32"/>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rPr>
          <w:rFonts w:hint="eastAsia" w:ascii="Times New Roman" w:hAnsi="Times New Roman" w:eastAsia="楷体_GB2312"/>
          <w:sz w:val="24"/>
          <w:szCs w:val="24"/>
          <w:lang w:eastAsia="zh-CN"/>
        </w:rPr>
      </w:pP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十</w:t>
      </w: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总汞</w:t>
      </w:r>
    </w:p>
    <w:p>
      <w:pPr>
        <w:pStyle w:val="8"/>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ind w:firstLine="864" w:firstLineChars="27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汞是一种毒性较大、熔点低、易挥发的银色液体金属，俗称水银。食品中的汞元素主要以金属汞、无机汞和有机汞（甲基汞、二甲基汞、乙基汞、苯甲基汞等）的形态存在。</w:t>
      </w:r>
      <w:r>
        <w:rPr>
          <w:rFonts w:hint="eastAsia" w:ascii="仿宋_GB2312" w:hAnsi="仿宋" w:eastAsia="仿宋_GB2312"/>
          <w:sz w:val="32"/>
          <w:szCs w:val="32"/>
        </w:rPr>
        <w:t>《食品安全国家标准 食品中污染物限量》（GB 2762-2017）中规定</w:t>
      </w:r>
      <w:r>
        <w:rPr>
          <w:rFonts w:hint="eastAsia" w:ascii="仿宋_GB2312" w:hAnsi="仿宋_GB2312" w:eastAsia="仿宋_GB2312" w:cs="仿宋_GB2312"/>
          <w:bCs/>
          <w:color w:val="auto"/>
          <w:sz w:val="32"/>
          <w:szCs w:val="32"/>
          <w:lang w:val="en-US" w:eastAsia="zh-CN"/>
        </w:rPr>
        <w:t>，食用菌制品总汞应</w:t>
      </w:r>
      <w:r>
        <w:rPr>
          <w:rFonts w:hint="eastAsia" w:ascii="仿宋_GB2312" w:hAnsi="仿宋_GB2312" w:eastAsia="仿宋_GB2312" w:cs="仿宋_GB2312"/>
          <w:bCs/>
          <w:color w:val="auto"/>
          <w:sz w:val="32"/>
          <w:szCs w:val="32"/>
        </w:rPr>
        <w:t>≤0.1/(1-脱水率）mg/kg</w:t>
      </w:r>
      <w:r>
        <w:rPr>
          <w:rFonts w:hint="eastAsia" w:ascii="仿宋_GB2312" w:hAnsi="仿宋_GB2312" w:eastAsia="仿宋_GB2312" w:cs="仿宋_GB2312"/>
          <w:bCs/>
          <w:color w:val="auto"/>
          <w:sz w:val="32"/>
          <w:szCs w:val="32"/>
          <w:lang w:val="en-US" w:eastAsia="zh-CN"/>
        </w:rPr>
        <w:t>。长期食用汞含量超标的食品</w:t>
      </w:r>
      <w:r>
        <w:rPr>
          <w:rFonts w:hint="eastAsia" w:ascii="仿宋_GB2312" w:hAnsi="仿宋_GB2312" w:eastAsia="仿宋_GB2312" w:cs="仿宋_GB2312"/>
          <w:bCs/>
          <w:color w:val="auto"/>
          <w:sz w:val="32"/>
          <w:szCs w:val="32"/>
        </w:rPr>
        <w:t>可</w:t>
      </w:r>
      <w:r>
        <w:rPr>
          <w:rFonts w:hint="eastAsia" w:ascii="仿宋_GB2312" w:hAnsi="仿宋_GB2312" w:eastAsia="仿宋_GB2312" w:cs="仿宋_GB2312"/>
          <w:bCs/>
          <w:color w:val="auto"/>
          <w:sz w:val="32"/>
          <w:szCs w:val="32"/>
          <w:lang w:eastAsia="zh-CN"/>
        </w:rPr>
        <w:t>能会</w:t>
      </w:r>
      <w:r>
        <w:rPr>
          <w:rFonts w:hint="eastAsia" w:ascii="仿宋_GB2312" w:hAnsi="仿宋_GB2312" w:eastAsia="仿宋_GB2312" w:cs="仿宋_GB2312"/>
          <w:bCs/>
          <w:color w:val="auto"/>
          <w:sz w:val="32"/>
          <w:szCs w:val="32"/>
        </w:rPr>
        <w:t>对肾脏细胞产生毒性作用</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损伤脑和神经系统</w:t>
      </w:r>
      <w:r>
        <w:rPr>
          <w:rFonts w:hint="eastAsia" w:ascii="仿宋_GB2312" w:hAnsi="仿宋_GB2312" w:eastAsia="仿宋_GB2312" w:cs="仿宋_GB2312"/>
          <w:bCs/>
          <w:color w:val="auto"/>
          <w:sz w:val="32"/>
          <w:szCs w:val="32"/>
          <w:lang w:eastAsia="zh-CN"/>
        </w:rPr>
        <w:t>。孕妇食用汞超标的食品会对</w:t>
      </w:r>
      <w:r>
        <w:rPr>
          <w:rFonts w:hint="eastAsia" w:ascii="仿宋_GB2312" w:hAnsi="仿宋_GB2312" w:eastAsia="仿宋_GB2312" w:cs="仿宋_GB2312"/>
          <w:bCs/>
          <w:color w:val="auto"/>
          <w:sz w:val="32"/>
          <w:szCs w:val="32"/>
        </w:rPr>
        <w:t>胎儿中枢神经发育有不良影响。</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rPr>
          <w:rFonts w:hint="eastAsia" w:ascii="Times New Roman" w:hAnsi="Times New Roman" w:eastAsia="楷体_GB2312"/>
          <w:sz w:val="24"/>
          <w:szCs w:val="24"/>
          <w:lang w:eastAsia="zh-CN"/>
        </w:rPr>
      </w:pP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十一</w:t>
      </w:r>
      <w:r>
        <w:rPr>
          <w:rFonts w:hint="eastAsia" w:ascii="楷体_GB2312" w:hAnsi="楷体" w:eastAsia="楷体_GB2312" w:cs="宋体"/>
          <w:b/>
          <w:kern w:val="0"/>
          <w:sz w:val="32"/>
          <w:szCs w:val="32"/>
        </w:rPr>
        <w:t>）</w:t>
      </w:r>
      <w:r>
        <w:rPr>
          <w:rFonts w:hint="eastAsia" w:ascii="楷体_GB2312" w:hAnsi="楷体" w:eastAsia="楷体_GB2312" w:cs="宋体"/>
          <w:b/>
          <w:kern w:val="0"/>
          <w:sz w:val="32"/>
          <w:szCs w:val="32"/>
          <w:lang w:eastAsia="zh-CN"/>
        </w:rPr>
        <w:t>总砷</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_GB2312" w:eastAsia="仿宋_GB2312" w:cs="仿宋_GB2312"/>
          <w:bCs/>
          <w:color w:val="auto"/>
          <w:kern w:val="0"/>
          <w:sz w:val="32"/>
          <w:szCs w:val="32"/>
          <w:lang w:val="en-US" w:eastAsia="zh-CN" w:bidi="ar-SA"/>
        </w:rPr>
      </w:pPr>
      <w:r>
        <w:rPr>
          <w:rFonts w:hint="eastAsia" w:ascii="仿宋_GB2312" w:hAnsi="仿宋_GB2312" w:eastAsia="仿宋_GB2312" w:cs="仿宋_GB2312"/>
          <w:bCs/>
          <w:color w:val="auto"/>
          <w:kern w:val="0"/>
          <w:sz w:val="32"/>
          <w:szCs w:val="32"/>
          <w:lang w:val="en-US" w:eastAsia="zh-CN" w:bidi="ar-SA"/>
        </w:rPr>
        <w:t>砷作为一种类金属元素，广泛存在于土壤、水体和生物体内，是一种毒性较高的污染元素，包括无机砷和有机砷。一般来说，无机砷对人体的毒性比有机砷大，有机砷在机体内吸收率极低，大部分无变化就被排出体外。</w:t>
      </w:r>
      <w:r>
        <w:rPr>
          <w:rFonts w:hint="eastAsia" w:ascii="仿宋_GB2312" w:hAnsi="仿宋" w:eastAsia="仿宋_GB2312"/>
          <w:sz w:val="32"/>
          <w:szCs w:val="32"/>
        </w:rPr>
        <w:t>《食品安全国家标准 食品中污染物限量》（GB 2762-2017）中规定</w:t>
      </w:r>
      <w:r>
        <w:rPr>
          <w:rFonts w:hint="eastAsia" w:ascii="仿宋_GB2312" w:hAnsi="仿宋_GB2312" w:eastAsia="仿宋_GB2312" w:cs="仿宋_GB2312"/>
          <w:bCs/>
          <w:color w:val="auto"/>
          <w:sz w:val="32"/>
          <w:szCs w:val="32"/>
          <w:lang w:val="en-US" w:eastAsia="zh-CN"/>
        </w:rPr>
        <w:t>，食用菌制品总汞应</w:t>
      </w:r>
      <w:r>
        <w:rPr>
          <w:rFonts w:hint="eastAsia" w:ascii="仿宋_GB2312" w:hAnsi="仿宋_GB2312" w:eastAsia="仿宋_GB2312" w:cs="仿宋_GB2312"/>
          <w:bCs/>
          <w:color w:val="auto"/>
          <w:sz w:val="32"/>
          <w:szCs w:val="32"/>
        </w:rPr>
        <w:t>≤0.</w:t>
      </w:r>
      <w:r>
        <w:rPr>
          <w:rFonts w:hint="eastAsia" w:ascii="仿宋_GB2312" w:hAnsi="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/(1-脱水率）mg/kg</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kern w:val="0"/>
          <w:sz w:val="32"/>
          <w:szCs w:val="32"/>
          <w:lang w:val="en-US" w:eastAsia="zh-CN" w:bidi="ar-SA"/>
        </w:rPr>
        <w:t>长期摄入砷</w:t>
      </w:r>
      <w:r>
        <w:rPr>
          <w:rFonts w:hint="eastAsia" w:ascii="仿宋_GB2312" w:hAnsi="仿宋_GB2312" w:cs="仿宋_GB2312"/>
          <w:bCs/>
          <w:color w:val="auto"/>
          <w:kern w:val="0"/>
          <w:sz w:val="32"/>
          <w:szCs w:val="32"/>
          <w:lang w:val="en-US" w:eastAsia="zh-CN" w:bidi="ar-SA"/>
        </w:rPr>
        <w:t>超标的食品</w:t>
      </w:r>
      <w:r>
        <w:rPr>
          <w:rFonts w:hint="eastAsia" w:ascii="仿宋_GB2312" w:hAnsi="仿宋_GB2312" w:eastAsia="仿宋_GB2312" w:cs="仿宋_GB2312"/>
          <w:bCs/>
          <w:color w:val="auto"/>
          <w:kern w:val="0"/>
          <w:sz w:val="32"/>
          <w:szCs w:val="32"/>
          <w:lang w:val="en-US" w:eastAsia="zh-CN" w:bidi="ar-SA"/>
        </w:rPr>
        <w:t>对人体健康造成的不良影响主要包括癌症、皮肤病、心血管系统疾病、神经系统中毒和糖尿病。食物中砷污染的主要原因有：含砷的废水等污染农作物和土壤，对食品造成砷污染；无机砷农药的使用，以及有机砷类杀菌剂的过量使用可致农作物中砷含量明显增加；食品加工过程中使用的原料、化学物和添加剂被砷污染或误用；被砷污染的容器或包装材料造成食品的砷污染。</w:t>
      </w:r>
    </w:p>
    <w:p>
      <w:pPr>
        <w:keepNext w:val="0"/>
        <w:keepLines w:val="0"/>
        <w:pageBreakBefore w:val="0"/>
        <w:kinsoku/>
        <w:wordWrap/>
        <w:overflowPunct/>
        <w:topLinePunct w:val="0"/>
        <w:autoSpaceDE/>
        <w:bidi w:val="0"/>
        <w:adjustRightInd/>
        <w:snapToGrid/>
        <w:spacing w:line="560" w:lineRule="exact"/>
        <w:ind w:firstLine="643" w:firstLineChars="200"/>
        <w:rPr>
          <w:rFonts w:ascii="楷体_GB2312" w:hAnsi="楷体" w:eastAsia="楷体_GB2312" w:cs="仿宋_GB2312"/>
          <w:b/>
          <w:color w:val="auto"/>
          <w:sz w:val="32"/>
          <w:szCs w:val="32"/>
        </w:rPr>
      </w:pPr>
      <w:r>
        <w:rPr>
          <w:rFonts w:hint="eastAsia" w:ascii="楷体_GB2312" w:hAnsi="楷体" w:eastAsia="楷体_GB2312" w:cs="仿宋_GB2312"/>
          <w:b/>
          <w:color w:val="auto"/>
          <w:sz w:val="32"/>
          <w:szCs w:val="32"/>
        </w:rPr>
        <w:t>（</w:t>
      </w:r>
      <w:r>
        <w:rPr>
          <w:rFonts w:hint="eastAsia" w:ascii="楷体_GB2312" w:hAnsi="楷体" w:eastAsia="楷体_GB2312" w:cs="仿宋_GB2312"/>
          <w:b/>
          <w:color w:val="auto"/>
          <w:sz w:val="32"/>
          <w:szCs w:val="32"/>
          <w:lang w:eastAsia="zh-CN"/>
        </w:rPr>
        <w:t>十二</w:t>
      </w:r>
      <w:r>
        <w:rPr>
          <w:rFonts w:hint="eastAsia" w:ascii="楷体_GB2312" w:hAnsi="楷体" w:eastAsia="楷体_GB2312" w:cs="仿宋_GB2312"/>
          <w:b/>
          <w:color w:val="auto"/>
          <w:sz w:val="32"/>
          <w:szCs w:val="32"/>
        </w:rPr>
        <w:t>）过氧化值</w:t>
      </w:r>
    </w:p>
    <w:p>
      <w:pPr>
        <w:keepNext w:val="0"/>
        <w:keepLines w:val="0"/>
        <w:pageBreakBefore w:val="0"/>
        <w:widowControl/>
        <w:suppressLineNumbers w:val="0"/>
        <w:kinsoku/>
        <w:wordWrap/>
        <w:overflowPunct/>
        <w:topLinePunct w:val="0"/>
        <w:autoSpaceDE/>
        <w:bidi w:val="0"/>
        <w:adjustRightInd/>
        <w:snapToGrid/>
        <w:spacing w:line="560" w:lineRule="exact"/>
        <w:jc w:val="left"/>
        <w:rPr>
          <w:rFonts w:ascii="仿宋_GB2312" w:hAnsi="仿宋" w:eastAsia="仿宋_GB2312"/>
          <w:sz w:val="32"/>
          <w:szCs w:val="32"/>
        </w:rPr>
      </w:pPr>
      <w:r>
        <w:rPr>
          <w:rFonts w:hint="eastAsia" w:ascii="仿宋_GB2312" w:hAnsi="仿宋" w:eastAsia="仿宋_GB2312" w:cs="仿宋"/>
          <w:sz w:val="32"/>
          <w:szCs w:val="32"/>
        </w:rPr>
        <w:t>过氧化值主要反映食品中油脂是否氧化变质。随着油脂被氧化，过氧化值会逐步升高。《食品安全国家标准 腌腊肉制品》（GB 2730-2015）中规定，</w:t>
      </w:r>
      <w:r>
        <w:rPr>
          <w:rFonts w:hint="eastAsia" w:ascii="仿宋_GB2312" w:hAnsi="仿宋" w:cs="仿宋"/>
          <w:sz w:val="32"/>
          <w:szCs w:val="32"/>
          <w:lang w:eastAsia="zh-CN"/>
        </w:rPr>
        <w:t>腌腊禽制品的过氧化值</w:t>
      </w:r>
      <w:r>
        <w:rPr>
          <w:rFonts w:hint="eastAsia" w:ascii="仿宋_GB2312" w:hAnsi="仿宋" w:eastAsia="仿宋_GB2312" w:cs="仿宋"/>
          <w:sz w:val="32"/>
          <w:szCs w:val="32"/>
        </w:rPr>
        <w:t>(以脂肪计)应≤</w:t>
      </w:r>
      <w:r>
        <w:rPr>
          <w:rFonts w:hint="eastAsia" w:ascii="仿宋_GB2312" w:hAnsi="仿宋" w:cs="仿宋"/>
          <w:sz w:val="32"/>
          <w:szCs w:val="32"/>
          <w:lang w:val="en-US" w:eastAsia="zh-CN"/>
        </w:rPr>
        <w:t>1</w:t>
      </w:r>
      <w:r>
        <w:rPr>
          <w:rFonts w:hint="eastAsia" w:ascii="仿宋_GB2312" w:hAnsi="仿宋" w:eastAsia="仿宋_GB2312" w:cs="仿宋"/>
          <w:sz w:val="32"/>
          <w:szCs w:val="32"/>
        </w:rPr>
        <w:t>.5g/100g</w:t>
      </w:r>
      <w:r>
        <w:rPr>
          <w:rFonts w:hint="eastAsia" w:ascii="仿宋_GB2312" w:hAnsi="仿宋" w:cs="仿宋"/>
          <w:sz w:val="32"/>
          <w:szCs w:val="32"/>
          <w:lang w:eastAsia="zh-CN"/>
        </w:rPr>
        <w:t>，火腿、腊肉、咸肉、香（腊）肠</w:t>
      </w:r>
      <w:r>
        <w:rPr>
          <w:rFonts w:hint="eastAsia" w:ascii="仿宋_GB2312" w:hAnsi="仿宋" w:eastAsia="仿宋_GB2312" w:cs="仿宋"/>
          <w:sz w:val="32"/>
          <w:szCs w:val="32"/>
        </w:rPr>
        <w:t>的过氧化值(以脂肪计)应≤0.5g/100g。食用</w:t>
      </w:r>
      <w:r>
        <w:rPr>
          <w:rFonts w:hint="eastAsia" w:ascii="仿宋_GB2312" w:hAnsi="仿宋" w:eastAsia="仿宋_GB2312"/>
          <w:sz w:val="32"/>
          <w:szCs w:val="32"/>
        </w:rPr>
        <w:t>过氧化值过高的食品可能会导致肠胃不适、腹泻等症状。</w:t>
      </w:r>
    </w:p>
    <w:p>
      <w:pPr>
        <w:keepNext w:val="0"/>
        <w:keepLines w:val="0"/>
        <w:pageBreakBefore w:val="0"/>
        <w:kinsoku/>
        <w:wordWrap/>
        <w:overflowPunct/>
        <w:topLinePunct w:val="0"/>
        <w:autoSpaceDE/>
        <w:bidi w:val="0"/>
        <w:adjustRightInd/>
        <w:snapToGrid/>
        <w:spacing w:line="560" w:lineRule="exact"/>
        <w:ind w:left="0" w:leftChars="0" w:firstLine="643" w:firstLineChars="200"/>
        <w:rPr>
          <w:rFonts w:ascii="楷体_GB2312" w:hAnsi="楷体" w:eastAsia="楷体_GB2312"/>
          <w:b/>
          <w:color w:val="000000" w:themeColor="text1"/>
          <w:sz w:val="32"/>
          <w:szCs w:val="32"/>
          <w14:textFill>
            <w14:solidFill>
              <w14:schemeClr w14:val="tx1"/>
            </w14:solidFill>
          </w14:textFill>
        </w:rPr>
      </w:pP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cs="仿宋_GB2312"/>
          <w:b/>
          <w:color w:val="000000" w:themeColor="text1"/>
          <w:sz w:val="32"/>
          <w:szCs w:val="32"/>
          <w:lang w:eastAsia="zh-CN"/>
          <w14:textFill>
            <w14:solidFill>
              <w14:schemeClr w14:val="tx1"/>
            </w14:solidFill>
          </w14:textFill>
        </w:rPr>
        <w:t>十三</w:t>
      </w:r>
      <w:r>
        <w:rPr>
          <w:rFonts w:hint="eastAsia" w:ascii="楷体_GB2312" w:hAnsi="楷体" w:eastAsia="楷体_GB2312" w:cs="仿宋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菌落总数</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楷体" w:eastAsia="仿宋_GB2312" w:cs="Arial"/>
          <w:b/>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《广东省食品安全地方标准 非预包装即食食品微生物限量》（DBS 44-2016）中规定，</w:t>
      </w:r>
      <w:r>
        <w:rPr>
          <w:rFonts w:hint="eastAsia" w:ascii="仿宋_GB2312" w:hAnsi="仿宋" w:cs="仿宋"/>
          <w:sz w:val="32"/>
          <w:szCs w:val="32"/>
          <w:lang w:eastAsia="zh-CN"/>
        </w:rPr>
        <w:t>熟肉制品和熟制水产品</w:t>
      </w:r>
      <w:r>
        <w:rPr>
          <w:rFonts w:hint="eastAsia" w:ascii="仿宋_GB2312" w:hAnsi="仿宋" w:eastAsia="仿宋_GB2312" w:cs="仿宋"/>
          <w:sz w:val="32"/>
          <w:szCs w:val="32"/>
        </w:rPr>
        <w:t>菌落总数＜10</w:t>
      </w:r>
      <w:r>
        <w:rPr>
          <w:rFonts w:hint="eastAsia" w:ascii="仿宋_GB2312" w:hAnsi="仿宋" w:cs="仿宋"/>
          <w:sz w:val="32"/>
          <w:szCs w:val="32"/>
          <w:vertAlign w:val="superscript"/>
          <w:lang w:val="en-US" w:eastAsia="zh-CN"/>
        </w:rPr>
        <w:t>5</w:t>
      </w:r>
      <w:r>
        <w:rPr>
          <w:rFonts w:hint="eastAsia" w:ascii="仿宋_GB2312" w:hAnsi="仿宋" w:eastAsia="仿宋_GB2312" w:cs="仿宋"/>
          <w:sz w:val="32"/>
          <w:szCs w:val="32"/>
          <w:vertAlign w:val="superscript"/>
        </w:rPr>
        <w:t xml:space="preserve"> </w:t>
      </w:r>
      <w:r>
        <w:rPr>
          <w:rFonts w:hint="eastAsia" w:ascii="仿宋_GB2312" w:hAnsi="仿宋" w:eastAsia="仿宋_GB2312" w:cs="仿宋"/>
          <w:sz w:val="32"/>
          <w:szCs w:val="32"/>
        </w:rPr>
        <w:t>CFU/g为满意，10</w:t>
      </w:r>
      <w:r>
        <w:rPr>
          <w:rFonts w:hint="eastAsia" w:ascii="仿宋_GB2312" w:hAnsi="仿宋" w:cs="仿宋"/>
          <w:sz w:val="32"/>
          <w:szCs w:val="32"/>
          <w:vertAlign w:val="superscript"/>
          <w:lang w:val="en-US" w:eastAsia="zh-CN"/>
        </w:rPr>
        <w:t>5</w:t>
      </w:r>
      <w:r>
        <w:rPr>
          <w:rFonts w:hint="eastAsia" w:ascii="仿宋_GB2312" w:hAnsi="仿宋" w:eastAsia="仿宋_GB2312" w:cs="仿宋"/>
          <w:sz w:val="32"/>
          <w:szCs w:val="32"/>
        </w:rPr>
        <w:t>-＜10</w:t>
      </w:r>
      <w:r>
        <w:rPr>
          <w:rFonts w:hint="eastAsia" w:ascii="仿宋_GB2312" w:hAnsi="仿宋" w:cs="仿宋"/>
          <w:sz w:val="32"/>
          <w:szCs w:val="32"/>
          <w:vertAlign w:val="superscript"/>
          <w:lang w:val="en-US" w:eastAsia="zh-CN"/>
        </w:rPr>
        <w:t>6</w:t>
      </w:r>
      <w:r>
        <w:rPr>
          <w:rFonts w:hint="eastAsia" w:ascii="仿宋_GB2312" w:hAnsi="仿宋" w:eastAsia="仿宋_GB2312" w:cs="仿宋"/>
          <w:sz w:val="32"/>
          <w:szCs w:val="32"/>
        </w:rPr>
        <w:t>CFU/g为可接受，≥10</w:t>
      </w:r>
      <w:r>
        <w:rPr>
          <w:rFonts w:hint="eastAsia" w:ascii="仿宋_GB2312" w:hAnsi="仿宋" w:cs="仿宋"/>
          <w:sz w:val="32"/>
          <w:szCs w:val="32"/>
          <w:vertAlign w:val="superscript"/>
          <w:lang w:val="en-US" w:eastAsia="zh-CN"/>
        </w:rPr>
        <w:t>6</w:t>
      </w:r>
      <w:r>
        <w:rPr>
          <w:rFonts w:hint="eastAsia" w:ascii="仿宋_GB2312" w:hAnsi="仿宋" w:eastAsia="仿宋_GB2312" w:cs="仿宋"/>
          <w:sz w:val="32"/>
          <w:szCs w:val="32"/>
        </w:rPr>
        <w:t>CFU/g为不合格。</w:t>
      </w:r>
      <w:r>
        <w:rPr>
          <w:rFonts w:hint="eastAsia" w:ascii="仿宋_GB2312" w:hAnsi="仿宋" w:eastAsia="仿宋_GB2312"/>
          <w:color w:val="auto"/>
          <w:sz w:val="32"/>
          <w:szCs w:val="32"/>
        </w:rPr>
        <w:t>食</w:t>
      </w:r>
      <w:r>
        <w:rPr>
          <w:rFonts w:hint="eastAsia" w:ascii="仿宋_GB2312" w:hAnsi="仿宋" w:eastAsia="仿宋_GB2312"/>
          <w:sz w:val="32"/>
          <w:szCs w:val="32"/>
        </w:rPr>
        <w:t>品的菌落总数超标，说明其产品的卫生状况达不到基本的卫生要求，将会破坏食品的营养成分，加速食品的腐败变质，使食品失去食用价值。消费者食用菌落总数</w:t>
      </w:r>
      <w:r>
        <w:rPr>
          <w:rFonts w:hint="eastAsia" w:ascii="仿宋_GB2312" w:hAnsi="仿宋" w:eastAsia="仿宋_GB2312"/>
          <w:color w:val="000000" w:themeColor="text1"/>
          <w:sz w:val="32"/>
          <w:szCs w:val="32"/>
          <w14:textFill>
            <w14:solidFill>
              <w14:schemeClr w14:val="tx1"/>
            </w14:solidFill>
          </w14:textFill>
        </w:rPr>
        <w:t>超标严重的食品，容易患痢疾等肠道疾病，会引起呕吐、腹泻等症状。</w:t>
      </w:r>
    </w:p>
    <w:p>
      <w:pPr>
        <w:keepNext w:val="0"/>
        <w:keepLines w:val="0"/>
        <w:pageBreakBefore w:val="0"/>
        <w:kinsoku/>
        <w:wordWrap/>
        <w:overflowPunct/>
        <w:topLinePunct w:val="0"/>
        <w:autoSpaceDE/>
        <w:bidi w:val="0"/>
        <w:adjustRightInd/>
        <w:snapToGrid/>
        <w:spacing w:line="560" w:lineRule="exact"/>
        <w:ind w:firstLine="643" w:firstLineChars="200"/>
        <w:rPr>
          <w:rFonts w:ascii="楷体_GB2312" w:hAnsi="仿宋" w:eastAsia="楷体_GB2312" w:cs="宋体"/>
          <w:color w:val="000000"/>
          <w:kern w:val="0"/>
          <w:sz w:val="32"/>
          <w:szCs w:val="32"/>
        </w:rPr>
      </w:pPr>
      <w:r>
        <w:rPr>
          <w:rFonts w:hint="eastAsia" w:ascii="楷体_GB2312" w:hAnsi="楷体" w:eastAsia="楷体_GB2312" w:cs="仿宋_GB2312"/>
          <w:b/>
          <w:sz w:val="32"/>
          <w:szCs w:val="32"/>
        </w:rPr>
        <w:t>（十</w:t>
      </w:r>
      <w:r>
        <w:rPr>
          <w:rFonts w:hint="eastAsia" w:ascii="楷体_GB2312" w:hAnsi="楷体" w:eastAsia="楷体_GB2312" w:cs="仿宋_GB2312"/>
          <w:b/>
          <w:sz w:val="32"/>
          <w:szCs w:val="32"/>
          <w:lang w:eastAsia="zh-CN"/>
        </w:rPr>
        <w:t>四</w:t>
      </w:r>
      <w:r>
        <w:rPr>
          <w:rFonts w:hint="eastAsia" w:ascii="楷体_GB2312" w:hAnsi="楷体" w:eastAsia="楷体_GB2312" w:cs="仿宋_GB2312"/>
          <w:b/>
          <w:sz w:val="32"/>
          <w:szCs w:val="32"/>
        </w:rPr>
        <w:t>）克百威</w:t>
      </w:r>
    </w:p>
    <w:p>
      <w:pPr>
        <w:pStyle w:val="17"/>
        <w:keepNext w:val="0"/>
        <w:keepLines w:val="0"/>
        <w:pageBreakBefore w:val="0"/>
        <w:kinsoku/>
        <w:wordWrap/>
        <w:overflowPunct/>
        <w:topLinePunct w:val="0"/>
        <w:autoSpaceDE/>
        <w:bidi w:val="0"/>
        <w:adjustRightInd/>
        <w:snapToGrid/>
        <w:spacing w:line="560" w:lineRule="exact"/>
        <w:ind w:firstLine="640"/>
        <w:rPr>
          <w:rFonts w:ascii="仿宋_GB2312" w:hAnsi="仿宋" w:eastAsia="仿宋_GB2312"/>
          <w:color w:val="0000FF"/>
          <w:sz w:val="32"/>
          <w:szCs w:val="32"/>
        </w:rPr>
      </w:pPr>
      <w:r>
        <w:rPr>
          <w:rFonts w:hint="eastAsia" w:ascii="仿宋_GB2312" w:hAnsi="仿宋" w:eastAsia="仿宋_GB2312"/>
          <w:sz w:val="32"/>
          <w:szCs w:val="32"/>
        </w:rPr>
        <w:t>克百威是一种具有内吸、触杀和胃毒作用的氨基甲酸酯类杀虫剂。《食品安全国家标准 食品中农药最大残留限量》（GB 2763-2019）中规定，</w:t>
      </w:r>
      <w:r>
        <w:rPr>
          <w:rFonts w:hint="eastAsia" w:ascii="仿宋_GB2312" w:hAnsi="仿宋"/>
          <w:sz w:val="32"/>
          <w:szCs w:val="32"/>
          <w:lang w:eastAsia="zh-CN"/>
        </w:rPr>
        <w:t>茄果类和豆类蔬菜</w:t>
      </w:r>
      <w:r>
        <w:rPr>
          <w:rFonts w:hint="eastAsia" w:ascii="仿宋_GB2312" w:hAnsi="仿宋" w:eastAsia="仿宋_GB2312"/>
          <w:sz w:val="32"/>
          <w:szCs w:val="32"/>
        </w:rPr>
        <w:t>中克百威（克百威和3-羟基克百威之和，以克百威计）应≤0.02 mg/kg。克百威对鱼类、鸟类及野生动物有害。对在施药区觅食的鸟类可能致命，这种误食致死的鸟尸可能还会对其他鹰类及肉食鸟类造成危险，并且该农药不易降解，容易造成环境污染。</w:t>
      </w:r>
    </w:p>
    <w:p>
      <w:pPr>
        <w:keepNext w:val="0"/>
        <w:keepLines w:val="0"/>
        <w:pageBreakBefore w:val="0"/>
        <w:kinsoku/>
        <w:wordWrap/>
        <w:overflowPunct/>
        <w:topLinePunct w:val="0"/>
        <w:autoSpaceDE/>
        <w:bidi w:val="0"/>
        <w:adjustRightInd/>
        <w:snapToGrid/>
        <w:spacing w:line="560" w:lineRule="exact"/>
        <w:ind w:left="0" w:leftChars="0" w:firstLine="643" w:firstLineChars="200"/>
        <w:rPr>
          <w:rFonts w:ascii="楷体_GB2312" w:hAnsi="楷体" w:eastAsia="楷体_GB2312" w:cs="仿宋_GB2312"/>
          <w:b/>
          <w:sz w:val="32"/>
          <w:szCs w:val="32"/>
        </w:rPr>
      </w:pPr>
      <w:r>
        <w:rPr>
          <w:rFonts w:hint="eastAsia" w:ascii="楷体_GB2312" w:hAnsi="楷体" w:eastAsia="楷体_GB2312" w:cs="仿宋_GB2312"/>
          <w:b/>
          <w:sz w:val="32"/>
          <w:szCs w:val="32"/>
          <w:lang w:eastAsia="zh-CN"/>
        </w:rPr>
        <w:t>（十五）</w:t>
      </w:r>
      <w:r>
        <w:rPr>
          <w:rFonts w:hint="eastAsia" w:ascii="楷体_GB2312" w:hAnsi="楷体" w:eastAsia="楷体_GB2312" w:cs="仿宋_GB2312"/>
          <w:b/>
          <w:sz w:val="32"/>
          <w:szCs w:val="32"/>
        </w:rPr>
        <w:t>孔雀石绿</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孔雀石绿是三苯甲烷类化学物，为工业染料，因其具有杀菌作用，常被不法商家用于处理受寄生虫影响的淡水水产品。《中华人民共和国农业农村部公共 第250号》中规定，该类药物为禁用兽药，在动物性食品中不得检出。有研究表明，孔雀石绿及其代谢物隐色孔雀石绿除了具有致癌性，还</w:t>
      </w:r>
      <w:r>
        <w:rPr>
          <w:rFonts w:hint="eastAsia" w:ascii="仿宋_GB2312" w:hAnsi="仿宋" w:cs="Times New Roman"/>
          <w:color w:val="auto"/>
          <w:kern w:val="2"/>
          <w:sz w:val="32"/>
          <w:szCs w:val="32"/>
          <w:lang w:val="en-US" w:eastAsia="zh-CN" w:bidi="ar-SA"/>
        </w:rPr>
        <w:t>可能</w:t>
      </w:r>
      <w:r>
        <w:rPr>
          <w:rFonts w:hint="eastAsia" w:ascii="仿宋_GB2312" w:hAnsi="仿宋" w:eastAsia="仿宋_GB2312" w:cs="Times New Roman"/>
          <w:kern w:val="2"/>
          <w:sz w:val="32"/>
          <w:szCs w:val="32"/>
          <w:lang w:val="en-US" w:eastAsia="zh-CN" w:bidi="ar-SA"/>
        </w:rPr>
        <w:t>会导致胎儿畸形和呼吸毒性。在组织病理学上，还发现了该药物对多器官包括肝肾的伤害或导致功能障碍。</w:t>
      </w:r>
    </w:p>
    <w:p>
      <w:pPr>
        <w:keepNext w:val="0"/>
        <w:keepLines w:val="0"/>
        <w:pageBreakBefore w:val="0"/>
        <w:kinsoku/>
        <w:wordWrap/>
        <w:overflowPunct/>
        <w:topLinePunct w:val="0"/>
        <w:autoSpaceDE/>
        <w:bidi w:val="0"/>
        <w:adjustRightInd/>
        <w:snapToGrid/>
        <w:spacing w:line="560" w:lineRule="exact"/>
        <w:ind w:left="0" w:leftChars="0"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（十</w:t>
      </w:r>
      <w:r>
        <w:rPr>
          <w:rFonts w:hint="eastAsia" w:ascii="楷体_GB2312" w:hAnsi="楷体" w:eastAsia="楷体_GB2312" w:cs="仿宋_GB2312"/>
          <w:b/>
          <w:color w:val="000000"/>
          <w:sz w:val="32"/>
          <w:szCs w:val="32"/>
          <w:lang w:eastAsia="zh-CN"/>
        </w:rPr>
        <w:t>六</w:t>
      </w:r>
      <w:r>
        <w:rPr>
          <w:rFonts w:hint="eastAsia" w:ascii="楷体_GB2312" w:hAnsi="楷体" w:eastAsia="楷体_GB2312" w:cs="仿宋_GB2312"/>
          <w:b/>
          <w:color w:val="000000"/>
          <w:sz w:val="32"/>
          <w:szCs w:val="32"/>
        </w:rPr>
        <w:t>）</w:t>
      </w:r>
      <w:r>
        <w:rPr>
          <w:rFonts w:hint="eastAsia" w:ascii="楷体_GB2312" w:hAnsi="楷体" w:eastAsia="楷体_GB2312" w:cs="宋体"/>
          <w:b/>
          <w:color w:val="000000"/>
          <w:kern w:val="0"/>
          <w:sz w:val="32"/>
          <w:szCs w:val="32"/>
        </w:rPr>
        <w:t>铝的残留量</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eastAsia="仿宋_GB2312" w:cs="仿宋_GB2312"/>
          <w:sz w:val="32"/>
          <w:szCs w:val="32"/>
          <w:lang w:eastAsia="zh-CN"/>
        </w:rPr>
        <w:t>粉丝粉条</w:t>
      </w:r>
      <w:r>
        <w:rPr>
          <w:rFonts w:hint="eastAsia" w:ascii="仿宋_GB2312" w:hAnsi="仿宋" w:eastAsia="仿宋_GB2312" w:cs="仿宋_GB2312"/>
          <w:sz w:val="32"/>
          <w:szCs w:val="32"/>
        </w:rPr>
        <w:t>中的铝的残留量(干样品，以Al计)应≤</w:t>
      </w: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00mg/kg。铝有一定的慢性毒性，摄入铝超标的食品，在体内可造成铝的蓄积，轻者会使食欲减退，引起贫血，重者会表现为神经毒性，使人运动失调、记忆力衰退等。</w:t>
      </w:r>
    </w:p>
    <w:p>
      <w:pPr>
        <w:keepNext w:val="0"/>
        <w:keepLines w:val="0"/>
        <w:pageBreakBefore w:val="0"/>
        <w:widowControl/>
        <w:kinsoku/>
        <w:wordWrap/>
        <w:overflowPunct/>
        <w:topLinePunct w:val="0"/>
        <w:autoSpaceDE/>
        <w:bidi w:val="0"/>
        <w:adjustRightInd/>
        <w:snapToGrid/>
        <w:spacing w:line="560" w:lineRule="exact"/>
        <w:ind w:left="0" w:leftChars="0"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lang w:eastAsia="zh-CN"/>
        </w:rPr>
        <w:t>（十七）</w:t>
      </w:r>
      <w:r>
        <w:rPr>
          <w:rFonts w:ascii="楷体_GB2312" w:hAnsi="宋体" w:eastAsia="楷体_GB2312" w:cs="宋体"/>
          <w:b/>
          <w:kern w:val="0"/>
          <w:sz w:val="32"/>
          <w:szCs w:val="32"/>
        </w:rPr>
        <w:t>尼卡巴嗪残留标志物</w:t>
      </w:r>
    </w:p>
    <w:p>
      <w:pPr>
        <w:pStyle w:val="2"/>
        <w:keepNext w:val="0"/>
        <w:keepLines w:val="0"/>
        <w:pageBreakBefore w:val="0"/>
        <w:kinsoku/>
        <w:wordWrap/>
        <w:overflowPunct/>
        <w:topLinePunct w:val="0"/>
        <w:autoSpaceDE/>
        <w:bidi w:val="0"/>
        <w:adjustRightInd/>
        <w:snapToGrid/>
        <w:spacing w:after="0" w:line="560" w:lineRule="exact"/>
        <w:ind w:left="0" w:leftChars="0"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尼卡巴嗪主要用于预防鸡、火鸡等禽类球虫病，具有高效、低毒、性能稳定、抗药性小等特点，在饲料中使用后会在动物的肌肉和组织中产生不同程度的残留。《食品安全国家标准 食品</w:t>
      </w:r>
      <w:r>
        <w:rPr>
          <w:rFonts w:hint="eastAsia" w:ascii="仿宋_GB2312" w:hAnsi="仿宋" w:eastAsia="仿宋_GB2312" w:cs="Times New Roman"/>
          <w:color w:val="auto"/>
          <w:kern w:val="2"/>
          <w:sz w:val="32"/>
          <w:szCs w:val="32"/>
          <w:lang w:val="en-US" w:eastAsia="zh-CN" w:bidi="ar-SA"/>
        </w:rPr>
        <w:t>中</w:t>
      </w:r>
      <w:r>
        <w:rPr>
          <w:rFonts w:hint="eastAsia" w:ascii="仿宋_GB2312" w:hAnsi="仿宋" w:eastAsia="仿宋_GB2312" w:cs="Times New Roman"/>
          <w:kern w:val="2"/>
          <w:sz w:val="32"/>
          <w:szCs w:val="32"/>
          <w:lang w:val="en-US" w:eastAsia="zh-CN" w:bidi="ar-SA"/>
        </w:rPr>
        <w:t>兽药最大残留限量》（GB 31650-2019）中规定，尼卡巴嗪在鸡的肌肉和皮/脂中</w:t>
      </w:r>
      <w:r>
        <w:rPr>
          <w:rFonts w:hint="eastAsia" w:ascii="仿宋_GB2312" w:hAnsi="仿宋" w:cs="Times New Roman"/>
          <w:kern w:val="2"/>
          <w:sz w:val="32"/>
          <w:szCs w:val="32"/>
          <w:lang w:val="en-US" w:eastAsia="zh-CN" w:bidi="ar-SA"/>
        </w:rPr>
        <w:t>应</w:t>
      </w:r>
      <w:r>
        <w:rPr>
          <w:rFonts w:hint="eastAsia" w:ascii="仿宋_GB2312" w:hAnsi="仿宋" w:eastAsia="仿宋_GB2312" w:cs="仿宋_GB2312"/>
          <w:sz w:val="32"/>
          <w:szCs w:val="32"/>
        </w:rPr>
        <w:t>≤</w:t>
      </w:r>
      <w:r>
        <w:rPr>
          <w:rFonts w:hint="eastAsia" w:ascii="仿宋_GB2312" w:hAnsi="仿宋" w:eastAsia="仿宋_GB2312" w:cs="Times New Roman"/>
          <w:kern w:val="2"/>
          <w:sz w:val="32"/>
          <w:szCs w:val="32"/>
          <w:lang w:val="en-US" w:eastAsia="zh-CN" w:bidi="ar-SA"/>
        </w:rPr>
        <w:t>200μg/kg。长期食用尼卡巴嗪残留超标的食品可能会对人体健康产生危害。</w:t>
      </w:r>
    </w:p>
    <w:p>
      <w:pPr>
        <w:keepNext w:val="0"/>
        <w:keepLines w:val="0"/>
        <w:pageBreakBefore w:val="0"/>
        <w:kinsoku/>
        <w:wordWrap/>
        <w:overflowPunct/>
        <w:topLinePunct w:val="0"/>
        <w:autoSpaceDE/>
        <w:autoSpaceDN w:val="0"/>
        <w:bidi w:val="0"/>
        <w:adjustRightInd/>
        <w:snapToGrid/>
        <w:spacing w:line="560" w:lineRule="exact"/>
        <w:ind w:firstLine="643" w:firstLineChars="200"/>
        <w:rPr>
          <w:rFonts w:ascii="楷体_GB2312" w:hAnsi="楷体" w:eastAsia="楷体_GB2312" w:cs="仿宋_GB2312"/>
          <w:b/>
          <w:sz w:val="32"/>
          <w:szCs w:val="32"/>
        </w:rPr>
      </w:pPr>
      <w:r>
        <w:rPr>
          <w:rFonts w:hint="eastAsia" w:ascii="楷体_GB2312" w:hAnsi="楷体" w:eastAsia="楷体_GB2312" w:cs="仿宋_GB2312"/>
          <w:b/>
          <w:color w:val="000000"/>
          <w:sz w:val="32"/>
          <w:szCs w:val="32"/>
        </w:rPr>
        <w:t>（</w:t>
      </w:r>
      <w:r>
        <w:rPr>
          <w:rFonts w:hint="eastAsia" w:ascii="楷体_GB2312" w:hAnsi="楷体" w:eastAsia="楷体_GB2312" w:cs="仿宋_GB2312"/>
          <w:b/>
          <w:color w:val="000000"/>
          <w:sz w:val="32"/>
          <w:szCs w:val="32"/>
          <w:lang w:eastAsia="zh-CN"/>
        </w:rPr>
        <w:t>十八</w:t>
      </w:r>
      <w:r>
        <w:rPr>
          <w:rFonts w:hint="eastAsia" w:ascii="楷体_GB2312" w:hAnsi="楷体" w:eastAsia="楷体_GB2312" w:cs="仿宋_GB2312"/>
          <w:b/>
          <w:color w:val="000000"/>
          <w:sz w:val="32"/>
          <w:szCs w:val="32"/>
        </w:rPr>
        <w:t>）</w:t>
      </w:r>
      <w:r>
        <w:rPr>
          <w:rFonts w:hint="eastAsia" w:ascii="楷体_GB2312" w:hAnsi="楷体" w:eastAsia="楷体_GB2312" w:cs="仿宋_GB2312"/>
          <w:b/>
          <w:sz w:val="32"/>
          <w:szCs w:val="32"/>
        </w:rPr>
        <w:t>铅</w:t>
      </w:r>
    </w:p>
    <w:p>
      <w:pPr>
        <w:keepNext w:val="0"/>
        <w:keepLines w:val="0"/>
        <w:pageBreakBefore w:val="0"/>
        <w:kinsoku/>
        <w:wordWrap/>
        <w:overflowPunct/>
        <w:topLinePunct w:val="0"/>
        <w:autoSpaceDE/>
        <w:bidi w:val="0"/>
        <w:adjustRightInd/>
        <w:snapToGrid/>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铅是一种能够在生物体内蓄积且排除缓慢的重金属污染物。《食品安全国家标准 食品中污染物限量》（GB 2762-2017）中规定，</w:t>
      </w:r>
      <w:r>
        <w:rPr>
          <w:rFonts w:hint="eastAsia" w:ascii="仿宋_GB2312" w:hAnsi="仿宋"/>
          <w:sz w:val="32"/>
          <w:szCs w:val="32"/>
          <w:lang w:eastAsia="zh-CN"/>
        </w:rPr>
        <w:t>水产制品（海蜇制品除外）中</w:t>
      </w:r>
      <w:r>
        <w:rPr>
          <w:rFonts w:hint="eastAsia" w:ascii="仿宋_GB2312" w:hAnsi="仿宋" w:eastAsia="仿宋_GB2312"/>
          <w:color w:val="auto"/>
          <w:sz w:val="32"/>
          <w:szCs w:val="32"/>
        </w:rPr>
        <w:t>铅</w:t>
      </w:r>
      <w:r>
        <w:rPr>
          <w:rFonts w:hint="eastAsia" w:ascii="仿宋_GB2312" w:hAnsi="仿宋" w:eastAsia="仿宋_GB2312"/>
          <w:sz w:val="32"/>
          <w:szCs w:val="32"/>
        </w:rPr>
        <w:t>(以Pb计)应≤1.0mg/kg。铅蓄积在体内可能会影响大脑和神经系统，尤其会对儿童造成智力发育障碍和表现行为异常。</w:t>
      </w:r>
    </w:p>
    <w:p>
      <w:pPr>
        <w:keepNext w:val="0"/>
        <w:keepLines w:val="0"/>
        <w:pageBreakBefore w:val="0"/>
        <w:kinsoku/>
        <w:wordWrap/>
        <w:overflowPunct/>
        <w:topLinePunct w:val="0"/>
        <w:autoSpaceDE/>
        <w:autoSpaceDN w:val="0"/>
        <w:bidi w:val="0"/>
        <w:adjustRightInd/>
        <w:snapToGrid/>
        <w:spacing w:line="560" w:lineRule="exact"/>
        <w:ind w:firstLine="643" w:firstLineChars="200"/>
        <w:rPr>
          <w:rFonts w:hint="eastAsia" w:ascii="楷体_GB2312" w:hAnsi="楷体" w:eastAsia="楷体_GB2312" w:cs="仿宋_GB2312"/>
          <w:b/>
          <w:color w:val="000000"/>
          <w:sz w:val="32"/>
          <w:szCs w:val="32"/>
        </w:rPr>
      </w:pPr>
      <w:r>
        <w:rPr>
          <w:rFonts w:hint="eastAsia" w:ascii="楷体_GB2312" w:hAnsi="楷体" w:eastAsia="楷体_GB2312" w:cs="仿宋_GB2312"/>
          <w:b/>
          <w:color w:val="000000"/>
          <w:sz w:val="32"/>
          <w:szCs w:val="32"/>
        </w:rPr>
        <w:t>（十</w:t>
      </w:r>
      <w:r>
        <w:rPr>
          <w:rFonts w:hint="eastAsia" w:ascii="楷体_GB2312" w:hAnsi="楷体" w:eastAsia="楷体_GB2312" w:cs="仿宋_GB2312"/>
          <w:b/>
          <w:color w:val="000000"/>
          <w:sz w:val="32"/>
          <w:szCs w:val="32"/>
          <w:lang w:eastAsia="zh-CN"/>
        </w:rPr>
        <w:t>九</w:t>
      </w:r>
      <w:r>
        <w:rPr>
          <w:rFonts w:hint="eastAsia" w:ascii="楷体_GB2312" w:hAnsi="楷体" w:eastAsia="楷体_GB2312" w:cs="仿宋_GB2312"/>
          <w:b/>
          <w:color w:val="000000"/>
          <w:sz w:val="32"/>
          <w:szCs w:val="32"/>
        </w:rPr>
        <w:t>）水胺硫磷</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 w:eastAsia="仿宋_GB2312"/>
          <w:sz w:val="32"/>
          <w:szCs w:val="32"/>
          <w:lang w:val="zh-CN"/>
        </w:rPr>
      </w:pPr>
      <w:r>
        <w:rPr>
          <w:rFonts w:hint="eastAsia" w:ascii="仿宋_GB2312" w:hAnsi="仿宋" w:eastAsia="仿宋_GB2312"/>
          <w:sz w:val="32"/>
          <w:szCs w:val="32"/>
          <w:lang w:val="zh-CN"/>
        </w:rPr>
        <w:t>水胺硫磷为有机磷杀虫剂，兼具胃毒和杀卵作用，主要用于防治果树、水稻和棉花虫害。《食品安全国家标准</w:t>
      </w:r>
      <w:r>
        <w:rPr>
          <w:rFonts w:hint="eastAsia" w:ascii="仿宋_GB2312" w:hAnsi="仿宋" w:eastAsia="仿宋_GB2312"/>
          <w:sz w:val="32"/>
          <w:szCs w:val="32"/>
        </w:rPr>
        <w:t xml:space="preserve"> </w:t>
      </w:r>
      <w:r>
        <w:rPr>
          <w:rFonts w:hint="eastAsia" w:ascii="仿宋_GB2312" w:hAnsi="仿宋" w:eastAsia="仿宋_GB2312"/>
          <w:sz w:val="32"/>
          <w:szCs w:val="32"/>
          <w:lang w:val="zh-CN"/>
        </w:rPr>
        <w:t>食品中农药最大残留限量》（GB 2763-2019）中规定，水胺硫磷在</w:t>
      </w:r>
      <w:r>
        <w:rPr>
          <w:rFonts w:hint="eastAsia" w:ascii="仿宋_GB2312" w:hAnsi="仿宋"/>
          <w:sz w:val="32"/>
          <w:szCs w:val="32"/>
          <w:lang w:val="zh-CN"/>
        </w:rPr>
        <w:t>豆</w:t>
      </w:r>
      <w:r>
        <w:rPr>
          <w:rFonts w:hint="eastAsia" w:ascii="仿宋_GB2312" w:hAnsi="仿宋" w:eastAsia="仿宋_GB2312"/>
          <w:sz w:val="32"/>
          <w:szCs w:val="32"/>
          <w:lang w:val="zh-CN"/>
        </w:rPr>
        <w:t>类蔬菜中</w:t>
      </w:r>
      <w:r>
        <w:rPr>
          <w:rFonts w:hint="eastAsia" w:ascii="仿宋_GB2312" w:hAnsi="仿宋" w:eastAsia="仿宋_GB2312"/>
          <w:sz w:val="32"/>
          <w:szCs w:val="32"/>
        </w:rPr>
        <w:t>应≤</w:t>
      </w:r>
      <w:r>
        <w:rPr>
          <w:rFonts w:hint="eastAsia" w:ascii="仿宋_GB2312" w:hAnsi="仿宋" w:eastAsia="仿宋_GB2312"/>
          <w:sz w:val="32"/>
          <w:szCs w:val="32"/>
          <w:lang w:val="zh-CN"/>
        </w:rPr>
        <w:t>0.05mg/kg。水胺硫磷属于高毒农药，主要通过食道、皮肤和呼吸道引起中毒。少量的农药残留不会引起人体急性中毒，但长期食用农药残留超标的食品，对人体健康有一定影响。</w:t>
      </w:r>
      <w:bookmarkStart w:id="0" w:name="_GoBack"/>
      <w:bookmarkEnd w:id="0"/>
    </w:p>
    <w:p>
      <w:pPr>
        <w:keepNext w:val="0"/>
        <w:keepLines w:val="0"/>
        <w:pageBreakBefore w:val="0"/>
        <w:kinsoku/>
        <w:wordWrap/>
        <w:overflowPunct/>
        <w:topLinePunct w:val="0"/>
        <w:autoSpaceDE/>
        <w:bidi w:val="0"/>
        <w:adjustRightInd/>
        <w:snapToGrid/>
        <w:spacing w:line="56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w:t>
      </w:r>
      <w:r>
        <w:rPr>
          <w:rFonts w:hint="eastAsia" w:ascii="楷体_GB2312" w:hAnsi="宋体" w:eastAsia="楷体_GB2312" w:cs="宋体"/>
          <w:b/>
          <w:kern w:val="0"/>
          <w:sz w:val="32"/>
          <w:szCs w:val="32"/>
          <w:lang w:eastAsia="zh-CN"/>
        </w:rPr>
        <w:t>二十</w:t>
      </w:r>
      <w:r>
        <w:rPr>
          <w:rFonts w:hint="eastAsia" w:ascii="楷体_GB2312" w:hAnsi="宋体" w:eastAsia="楷体_GB2312" w:cs="宋体"/>
          <w:b/>
          <w:kern w:val="0"/>
          <w:sz w:val="32"/>
          <w:szCs w:val="32"/>
        </w:rPr>
        <w:t>）五氯酚酸钠</w:t>
      </w:r>
    </w:p>
    <w:p>
      <w:pPr>
        <w:keepNext w:val="0"/>
        <w:keepLines w:val="0"/>
        <w:pageBreakBefore w:val="0"/>
        <w:kinsoku/>
        <w:wordWrap/>
        <w:overflowPunct/>
        <w:topLinePunct w:val="0"/>
        <w:autoSpaceDE/>
        <w:bidi w:val="0"/>
        <w:adjustRightInd/>
        <w:snapToGrid/>
        <w:spacing w:line="560" w:lineRule="exact"/>
        <w:ind w:firstLine="640" w:firstLineChars="200"/>
        <w:rPr>
          <w:rFonts w:hint="eastAsia" w:ascii="仿宋_GB2312" w:hAnsi="仿宋"/>
          <w:sz w:val="32"/>
          <w:szCs w:val="32"/>
          <w:lang w:eastAsia="zh-CN"/>
        </w:rPr>
      </w:pPr>
      <w:r>
        <w:rPr>
          <w:rFonts w:hint="eastAsia" w:ascii="仿宋_GB2312" w:hAnsi="仿宋"/>
          <w:sz w:val="32"/>
          <w:szCs w:val="32"/>
          <w:lang w:eastAsia="zh-CN"/>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（二）加强食品出厂检验</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楷体_GB2312" w:eastAsia="楷体_GB2312"/>
          <w:bCs/>
          <w:color w:val="auto"/>
          <w:highlight w:val="none"/>
        </w:rPr>
      </w:pPr>
      <w:r>
        <w:rPr>
          <w:rFonts w:hint="eastAsia" w:ascii="楷体_GB2312" w:hAnsi="楷体" w:eastAsia="楷体_GB2312"/>
          <w:b/>
          <w:color w:val="auto"/>
          <w:szCs w:val="32"/>
          <w:highlight w:val="none"/>
        </w:rPr>
        <w:t>（</w:t>
      </w:r>
      <w:r>
        <w:rPr>
          <w:rFonts w:hint="eastAsia" w:ascii="楷体_GB2312" w:hAnsi="楷体" w:eastAsia="楷体_GB2312"/>
          <w:b/>
          <w:color w:val="auto"/>
          <w:szCs w:val="32"/>
          <w:highlight w:val="none"/>
          <w:lang w:eastAsia="zh-CN"/>
        </w:rPr>
        <w:t>三</w:t>
      </w:r>
      <w:r>
        <w:rPr>
          <w:rFonts w:hint="eastAsia" w:ascii="楷体_GB2312" w:hAnsi="楷体" w:eastAsia="楷体_GB2312"/>
          <w:b/>
          <w:color w:val="auto"/>
          <w:szCs w:val="32"/>
          <w:highlight w:val="none"/>
        </w:rPr>
        <w:t>）规范药物使用</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color w:val="auto"/>
          <w:szCs w:val="32"/>
          <w:highlight w:val="none"/>
        </w:rPr>
      </w:pPr>
      <w:r>
        <w:rPr>
          <w:rFonts w:hint="eastAsia" w:ascii="仿宋_GB2312" w:hAnsi="仿宋"/>
          <w:color w:val="auto"/>
          <w:szCs w:val="32"/>
          <w:highlight w:val="none"/>
        </w:rPr>
        <w:t>针对种养殖环节，种养殖户应严格按照药物说明书进行规范用药。加大对生产经营人员专业知识的培训，对种养殖基地、农户进行药物使用知识的培训力度，加强种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r>
        <w:rPr>
          <w:rFonts w:hint="eastAsia"/>
          <w:color w:val="auto"/>
          <w:highlight w:val="none"/>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1"/>
          <w:rFonts w:ascii="楷体_GB2312" w:hAnsi="楷体" w:eastAsia="楷体_GB2312"/>
          <w:color w:val="auto"/>
          <w:sz w:val="32"/>
          <w:szCs w:val="32"/>
          <w:highlight w:val="none"/>
        </w:rPr>
      </w:pPr>
      <w:r>
        <w:rPr>
          <w:rStyle w:val="11"/>
          <w:rFonts w:hint="eastAsia" w:ascii="楷体_GB2312" w:hAnsi="楷体" w:eastAsia="楷体_GB2312"/>
          <w:color w:val="auto"/>
          <w:sz w:val="32"/>
          <w:szCs w:val="32"/>
          <w:highlight w:val="none"/>
        </w:rPr>
        <w:t>（</w:t>
      </w:r>
      <w:r>
        <w:rPr>
          <w:rStyle w:val="11"/>
          <w:rFonts w:hint="eastAsia" w:ascii="楷体_GB2312" w:hAnsi="楷体" w:eastAsia="楷体_GB2312"/>
          <w:color w:val="auto"/>
          <w:sz w:val="32"/>
          <w:szCs w:val="32"/>
          <w:highlight w:val="none"/>
          <w:lang w:eastAsia="zh-CN"/>
        </w:rPr>
        <w:t>四</w:t>
      </w:r>
      <w:r>
        <w:rPr>
          <w:rStyle w:val="11"/>
          <w:rFonts w:hint="eastAsia" w:ascii="楷体_GB2312" w:hAnsi="楷体" w:eastAsia="楷体_GB2312"/>
          <w:color w:val="auto"/>
          <w:sz w:val="32"/>
          <w:szCs w:val="32"/>
          <w:highlight w:val="none"/>
        </w:rPr>
        <w:t>）提高食品添加剂安全使用意识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F084"/>
    <w:multiLevelType w:val="singleLevel"/>
    <w:tmpl w:val="4C63F084"/>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0BE4BAD"/>
    <w:rsid w:val="010D4506"/>
    <w:rsid w:val="017D0269"/>
    <w:rsid w:val="034743C9"/>
    <w:rsid w:val="034F1986"/>
    <w:rsid w:val="03E020C5"/>
    <w:rsid w:val="03FD00B3"/>
    <w:rsid w:val="055921C9"/>
    <w:rsid w:val="055A195A"/>
    <w:rsid w:val="066C5CEA"/>
    <w:rsid w:val="07C82C95"/>
    <w:rsid w:val="081209FA"/>
    <w:rsid w:val="08AD06EB"/>
    <w:rsid w:val="08F00F9F"/>
    <w:rsid w:val="091C5D20"/>
    <w:rsid w:val="0A101FAB"/>
    <w:rsid w:val="0A545255"/>
    <w:rsid w:val="0AEA5DCE"/>
    <w:rsid w:val="0C455D22"/>
    <w:rsid w:val="0C6F4539"/>
    <w:rsid w:val="0CD4225F"/>
    <w:rsid w:val="0EA93008"/>
    <w:rsid w:val="0EC839C2"/>
    <w:rsid w:val="0F261454"/>
    <w:rsid w:val="10AD16A7"/>
    <w:rsid w:val="1162065F"/>
    <w:rsid w:val="11B32DA0"/>
    <w:rsid w:val="11CE6913"/>
    <w:rsid w:val="11E172CB"/>
    <w:rsid w:val="1210526E"/>
    <w:rsid w:val="12AF7645"/>
    <w:rsid w:val="12B51B83"/>
    <w:rsid w:val="139A1CB2"/>
    <w:rsid w:val="141B2394"/>
    <w:rsid w:val="155219D3"/>
    <w:rsid w:val="15FE7C46"/>
    <w:rsid w:val="16396F4B"/>
    <w:rsid w:val="16A52765"/>
    <w:rsid w:val="176818BF"/>
    <w:rsid w:val="17C62E78"/>
    <w:rsid w:val="17FA5E44"/>
    <w:rsid w:val="181E6360"/>
    <w:rsid w:val="199008F8"/>
    <w:rsid w:val="19EB104A"/>
    <w:rsid w:val="1AC759AF"/>
    <w:rsid w:val="1B042E72"/>
    <w:rsid w:val="1C2B3ECE"/>
    <w:rsid w:val="1C354059"/>
    <w:rsid w:val="1EFD4E3F"/>
    <w:rsid w:val="1F456A61"/>
    <w:rsid w:val="200B2815"/>
    <w:rsid w:val="2103478D"/>
    <w:rsid w:val="231A399D"/>
    <w:rsid w:val="249A66FD"/>
    <w:rsid w:val="255973C6"/>
    <w:rsid w:val="257D0D7B"/>
    <w:rsid w:val="25D84592"/>
    <w:rsid w:val="274815F0"/>
    <w:rsid w:val="27D171E0"/>
    <w:rsid w:val="282A264F"/>
    <w:rsid w:val="29292876"/>
    <w:rsid w:val="29DF09A6"/>
    <w:rsid w:val="2C784420"/>
    <w:rsid w:val="2D2D024C"/>
    <w:rsid w:val="2DA27B95"/>
    <w:rsid w:val="2E172668"/>
    <w:rsid w:val="2E6B3A9D"/>
    <w:rsid w:val="2F045E37"/>
    <w:rsid w:val="2F085758"/>
    <w:rsid w:val="2F4F707A"/>
    <w:rsid w:val="2FFC71C6"/>
    <w:rsid w:val="307B5CC3"/>
    <w:rsid w:val="31200851"/>
    <w:rsid w:val="31AA7543"/>
    <w:rsid w:val="31EA5456"/>
    <w:rsid w:val="323F00BC"/>
    <w:rsid w:val="324700B2"/>
    <w:rsid w:val="348E513C"/>
    <w:rsid w:val="34B74329"/>
    <w:rsid w:val="35BC7A15"/>
    <w:rsid w:val="36A26439"/>
    <w:rsid w:val="37790A88"/>
    <w:rsid w:val="37DD6246"/>
    <w:rsid w:val="382D7593"/>
    <w:rsid w:val="38622AFA"/>
    <w:rsid w:val="387272BF"/>
    <w:rsid w:val="38865B2F"/>
    <w:rsid w:val="39275408"/>
    <w:rsid w:val="3B1904CB"/>
    <w:rsid w:val="3BAB1A67"/>
    <w:rsid w:val="3BFE4DC9"/>
    <w:rsid w:val="3CDD7A17"/>
    <w:rsid w:val="3E051E67"/>
    <w:rsid w:val="3E1079E4"/>
    <w:rsid w:val="3E88008E"/>
    <w:rsid w:val="3E984FE9"/>
    <w:rsid w:val="3EC80CDE"/>
    <w:rsid w:val="3F033412"/>
    <w:rsid w:val="3F685D87"/>
    <w:rsid w:val="40191044"/>
    <w:rsid w:val="428251DB"/>
    <w:rsid w:val="43974288"/>
    <w:rsid w:val="44141429"/>
    <w:rsid w:val="45104BE6"/>
    <w:rsid w:val="460F4F06"/>
    <w:rsid w:val="464A4562"/>
    <w:rsid w:val="4848609B"/>
    <w:rsid w:val="4864409A"/>
    <w:rsid w:val="48E60C18"/>
    <w:rsid w:val="49346CC6"/>
    <w:rsid w:val="4B37566A"/>
    <w:rsid w:val="4C7A639D"/>
    <w:rsid w:val="4CE91A69"/>
    <w:rsid w:val="4DAC348D"/>
    <w:rsid w:val="4EBC0748"/>
    <w:rsid w:val="4ECC3762"/>
    <w:rsid w:val="4FE23640"/>
    <w:rsid w:val="4FED4605"/>
    <w:rsid w:val="503305EE"/>
    <w:rsid w:val="50561BEF"/>
    <w:rsid w:val="52332F51"/>
    <w:rsid w:val="528B5881"/>
    <w:rsid w:val="52A0415B"/>
    <w:rsid w:val="52FE47AC"/>
    <w:rsid w:val="533A17A5"/>
    <w:rsid w:val="53465E28"/>
    <w:rsid w:val="534B1050"/>
    <w:rsid w:val="53785E73"/>
    <w:rsid w:val="539260FB"/>
    <w:rsid w:val="53FD7C6B"/>
    <w:rsid w:val="548A3477"/>
    <w:rsid w:val="550906E8"/>
    <w:rsid w:val="551B6EF1"/>
    <w:rsid w:val="557E5EAF"/>
    <w:rsid w:val="56D02FB6"/>
    <w:rsid w:val="586B71C9"/>
    <w:rsid w:val="59527B6B"/>
    <w:rsid w:val="59E33FF0"/>
    <w:rsid w:val="59EA54F5"/>
    <w:rsid w:val="5C000884"/>
    <w:rsid w:val="5C240B88"/>
    <w:rsid w:val="5E0D1B19"/>
    <w:rsid w:val="5E214E94"/>
    <w:rsid w:val="5E7004E1"/>
    <w:rsid w:val="5ECD4C7F"/>
    <w:rsid w:val="5F093C78"/>
    <w:rsid w:val="6048573D"/>
    <w:rsid w:val="617E5460"/>
    <w:rsid w:val="61E02C8B"/>
    <w:rsid w:val="62547A4D"/>
    <w:rsid w:val="638239E5"/>
    <w:rsid w:val="63E10B0C"/>
    <w:rsid w:val="6537764C"/>
    <w:rsid w:val="65E578BD"/>
    <w:rsid w:val="666A4D62"/>
    <w:rsid w:val="668A5EDC"/>
    <w:rsid w:val="67180D7A"/>
    <w:rsid w:val="67663F7B"/>
    <w:rsid w:val="6792245C"/>
    <w:rsid w:val="67AC56C6"/>
    <w:rsid w:val="6801069F"/>
    <w:rsid w:val="680F265C"/>
    <w:rsid w:val="69130912"/>
    <w:rsid w:val="69CB77D8"/>
    <w:rsid w:val="6A323B2C"/>
    <w:rsid w:val="6C2646D1"/>
    <w:rsid w:val="6C721C9A"/>
    <w:rsid w:val="6C942E03"/>
    <w:rsid w:val="6D731B27"/>
    <w:rsid w:val="6E9610D2"/>
    <w:rsid w:val="6ECD36FF"/>
    <w:rsid w:val="6F1957D5"/>
    <w:rsid w:val="70254438"/>
    <w:rsid w:val="72A04A1F"/>
    <w:rsid w:val="72F24D9D"/>
    <w:rsid w:val="733275F5"/>
    <w:rsid w:val="738026E3"/>
    <w:rsid w:val="74104D2B"/>
    <w:rsid w:val="747927C4"/>
    <w:rsid w:val="754B170B"/>
    <w:rsid w:val="756F7B86"/>
    <w:rsid w:val="75CA36CA"/>
    <w:rsid w:val="763955BF"/>
    <w:rsid w:val="77FC16E5"/>
    <w:rsid w:val="78BC4EF9"/>
    <w:rsid w:val="78C82F23"/>
    <w:rsid w:val="78FE0A2F"/>
    <w:rsid w:val="7A7C11A9"/>
    <w:rsid w:val="7B5E04A9"/>
    <w:rsid w:val="7C073518"/>
    <w:rsid w:val="7C4079FA"/>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本文正文"/>
    <w:basedOn w:val="1"/>
    <w:qFormat/>
    <w:uiPriority w:val="0"/>
    <w:pPr>
      <w:spacing w:line="360" w:lineRule="auto"/>
      <w:ind w:firstLine="803"/>
    </w:pPr>
    <w:rPr>
      <w:rFonts w:ascii="宋体" w:hAnsi="宋体"/>
      <w:sz w:val="24"/>
    </w:rPr>
  </w:style>
  <w:style w:type="character" w:customStyle="1" w:styleId="14">
    <w:name w:val="页眉 字符"/>
    <w:basedOn w:val="10"/>
    <w:link w:val="7"/>
    <w:qFormat/>
    <w:uiPriority w:val="0"/>
    <w:rPr>
      <w:rFonts w:ascii="Calibri" w:hAnsi="Calibri" w:eastAsia="仿宋_GB2312"/>
      <w:kern w:val="2"/>
      <w:sz w:val="18"/>
      <w:szCs w:val="18"/>
    </w:rPr>
  </w:style>
  <w:style w:type="character" w:customStyle="1" w:styleId="15">
    <w:name w:val="页脚 字符"/>
    <w:basedOn w:val="10"/>
    <w:link w:val="6"/>
    <w:qFormat/>
    <w:uiPriority w:val="0"/>
    <w:rPr>
      <w:rFonts w:ascii="Calibri" w:hAnsi="Calibri" w:eastAsia="仿宋_GB2312"/>
      <w:kern w:val="2"/>
      <w:sz w:val="18"/>
      <w:szCs w:val="18"/>
    </w:rPr>
  </w:style>
  <w:style w:type="character" w:customStyle="1" w:styleId="16">
    <w:name w:val="标题 2 字符"/>
    <w:basedOn w:val="10"/>
    <w:link w:val="5"/>
    <w:semiHidden/>
    <w:qFormat/>
    <w:uiPriority w:val="0"/>
    <w:rPr>
      <w:rFonts w:asciiTheme="majorHAnsi" w:hAnsiTheme="majorHAnsi" w:eastAsiaTheme="majorEastAsia" w:cstheme="majorBidi"/>
      <w:b/>
      <w:bCs/>
      <w:kern w:val="2"/>
      <w:sz w:val="32"/>
      <w:szCs w:val="32"/>
    </w:rPr>
  </w:style>
  <w:style w:type="paragraph" w:customStyle="1" w:styleId="17">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TotalTime>
  <ScaleCrop>false</ScaleCrop>
  <LinksUpToDate>false</LinksUpToDate>
  <CharactersWithSpaces>4018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2021-07-05T07:51:10Z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2BCBADEB164F420AB7CA92621D404113</vt:lpwstr>
  </property>
</Properties>
</file>