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kern w:val="0"/>
          <w:szCs w:val="32"/>
          <w:lang w:eastAsia="zh-CN"/>
        </w:rPr>
      </w:pPr>
      <w:r>
        <w:rPr>
          <w:rFonts w:hint="eastAsia" w:ascii="黑体" w:hAnsi="黑体" w:eastAsia="黑体" w:cs="Arial"/>
          <w:kern w:val="0"/>
          <w:szCs w:val="32"/>
        </w:rPr>
        <w:t>附件</w:t>
      </w:r>
      <w:r>
        <w:rPr>
          <w:rFonts w:hint="eastAsia" w:ascii="黑体" w:hAnsi="黑体" w:eastAsia="黑体" w:cs="Arial"/>
          <w:kern w:val="0"/>
          <w:szCs w:val="32"/>
          <w:lang w:val="en-US" w:eastAsia="zh-CN"/>
        </w:rPr>
        <w:t>3</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spacing w:val="-12"/>
          <w:sz w:val="44"/>
          <w:szCs w:val="44"/>
        </w:rPr>
      </w:pPr>
      <w:r>
        <w:rPr>
          <w:rFonts w:hint="eastAsia" w:ascii="华文中宋" w:hAnsi="华文中宋" w:eastAsia="华文中宋" w:cs="华文中宋"/>
          <w:spacing w:val="-12"/>
          <w:sz w:val="44"/>
          <w:szCs w:val="44"/>
        </w:rPr>
        <w:t>部分不合格项目小知识</w:t>
      </w:r>
    </w:p>
    <w:p>
      <w:pPr>
        <w:pStyle w:val="2"/>
        <w:keepNext w:val="0"/>
        <w:keepLines w:val="0"/>
        <w:pageBreakBefore w:val="0"/>
        <w:kinsoku/>
        <w:wordWrap/>
        <w:overflowPunct/>
        <w:topLinePunct w:val="0"/>
        <w:autoSpaceDE/>
        <w:autoSpaceDN/>
        <w:bidi w:val="0"/>
        <w:adjustRightInd/>
        <w:snapToGrid/>
        <w:spacing w:after="0" w:line="560" w:lineRule="exact"/>
        <w:ind w:left="640" w:firstLine="480"/>
        <w:textAlignment w:val="auto"/>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szCs w:val="32"/>
        </w:rPr>
      </w:pPr>
      <w:r>
        <w:rPr>
          <w:rFonts w:hint="eastAsia" w:ascii="黑体" w:hAnsi="黑体" w:eastAsia="黑体" w:cs="黑体"/>
          <w:b w:val="0"/>
          <w:bCs w:val="0"/>
          <w:szCs w:val="32"/>
        </w:rPr>
        <w:t>一、不合格项目小知识</w:t>
      </w:r>
    </w:p>
    <w:p>
      <w:pPr>
        <w:widowControl/>
        <w:ind w:left="0" w:leftChars="0" w:firstLine="643" w:firstLineChars="200"/>
        <w:jc w:val="left"/>
        <w:rPr>
          <w:rFonts w:ascii="楷体_GB2312" w:hAnsi="宋体" w:eastAsia="楷体_GB2312" w:cs="宋体"/>
          <w:b/>
          <w:color w:val="auto"/>
          <w:kern w:val="0"/>
          <w:sz w:val="32"/>
          <w:szCs w:val="32"/>
        </w:rPr>
      </w:pPr>
      <w:r>
        <w:rPr>
          <w:rFonts w:hint="eastAsia" w:ascii="楷体_GB2312" w:hAnsi="宋体" w:eastAsia="楷体_GB2312" w:cs="宋体"/>
          <w:b/>
          <w:color w:val="auto"/>
          <w:kern w:val="0"/>
          <w:sz w:val="32"/>
          <w:szCs w:val="32"/>
          <w:lang w:eastAsia="zh-CN"/>
        </w:rPr>
        <w:t>营养标签</w:t>
      </w:r>
      <w:r>
        <w:rPr>
          <w:rFonts w:hint="eastAsia" w:ascii="楷体_GB2312" w:hAnsi="宋体" w:eastAsia="楷体_GB2312" w:cs="宋体"/>
          <w:b/>
          <w:color w:val="auto"/>
          <w:kern w:val="0"/>
          <w:sz w:val="32"/>
          <w:szCs w:val="32"/>
          <w:lang w:val="en-US" w:eastAsia="zh-CN"/>
        </w:rPr>
        <w:t>-</w:t>
      </w:r>
      <w:r>
        <w:rPr>
          <w:rFonts w:ascii="楷体_GB2312" w:hAnsi="宋体" w:eastAsia="楷体_GB2312" w:cs="宋体"/>
          <w:b/>
          <w:color w:val="auto"/>
          <w:kern w:val="0"/>
          <w:sz w:val="32"/>
          <w:szCs w:val="32"/>
        </w:rPr>
        <w:t>钠</w:t>
      </w:r>
    </w:p>
    <w:p>
      <w:pPr>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 w:eastAsia="仿宋_GB2312"/>
          <w:color w:val="auto"/>
          <w:sz w:val="32"/>
          <w:szCs w:val="32"/>
        </w:rPr>
      </w:pPr>
      <w:r>
        <w:rPr>
          <w:rFonts w:hint="eastAsia" w:ascii="仿宋_GB2312" w:hAnsi="仿宋" w:eastAsia="仿宋_GB2312" w:cs="Times New Roman"/>
          <w:color w:val="auto"/>
          <w:sz w:val="32"/>
          <w:szCs w:val="32"/>
        </w:rPr>
        <w:t>《食品安全国家标准</w:t>
      </w:r>
      <w:r>
        <w:rPr>
          <w:rFonts w:hint="eastAsia" w:ascii="仿宋_GB2312" w:hAnsi="仿宋" w:eastAsia="仿宋_GB2312" w:cs="Times New Roman"/>
          <w:color w:val="auto"/>
          <w:sz w:val="32"/>
          <w:szCs w:val="32"/>
          <w:lang w:val="en-US" w:eastAsia="zh-CN"/>
        </w:rPr>
        <w:t xml:space="preserve"> </w:t>
      </w:r>
      <w:r>
        <w:rPr>
          <w:rFonts w:hint="eastAsia" w:ascii="仿宋_GB2312" w:hAnsi="仿宋" w:eastAsia="仿宋_GB2312" w:cs="Times New Roman"/>
          <w:color w:val="auto"/>
          <w:sz w:val="32"/>
          <w:szCs w:val="32"/>
        </w:rPr>
        <w:t>预包装食品营养标签通则》（GB 28050-2011）中规定，营养成分</w:t>
      </w:r>
      <w:r>
        <w:rPr>
          <w:rFonts w:hint="eastAsia" w:ascii="仿宋_GB2312" w:hAnsi="仿宋" w:cs="Times New Roman"/>
          <w:color w:val="0000FF"/>
          <w:sz w:val="32"/>
          <w:szCs w:val="32"/>
          <w:lang w:eastAsia="zh-CN"/>
        </w:rPr>
        <w:t>钠</w:t>
      </w:r>
      <w:r>
        <w:rPr>
          <w:rFonts w:hint="eastAsia" w:ascii="仿宋_GB2312" w:hAnsi="仿宋" w:eastAsia="仿宋_GB2312" w:cs="Times New Roman"/>
          <w:color w:val="auto"/>
          <w:sz w:val="32"/>
          <w:szCs w:val="32"/>
        </w:rPr>
        <w:t>的实际含量应</w:t>
      </w:r>
      <w:r>
        <w:rPr>
          <w:rFonts w:hint="eastAsia" w:ascii="仿宋_GB2312" w:hAnsi="仿宋" w:eastAsia="仿宋_GB2312"/>
          <w:color w:val="auto"/>
          <w:sz w:val="32"/>
          <w:szCs w:val="32"/>
        </w:rPr>
        <w:t>≤</w:t>
      </w:r>
      <w:r>
        <w:rPr>
          <w:rFonts w:hint="eastAsia" w:ascii="仿宋_GB2312" w:hAnsi="仿宋" w:cs="Times New Roman"/>
          <w:color w:val="auto"/>
          <w:sz w:val="32"/>
          <w:szCs w:val="32"/>
          <w:lang w:val="en-US" w:eastAsia="zh-CN"/>
        </w:rPr>
        <w:t>12</w:t>
      </w:r>
      <w:r>
        <w:rPr>
          <w:rFonts w:hint="eastAsia" w:ascii="仿宋_GB2312" w:hAnsi="仿宋" w:eastAsia="仿宋_GB2312" w:cs="Times New Roman"/>
          <w:color w:val="auto"/>
          <w:sz w:val="32"/>
          <w:szCs w:val="32"/>
        </w:rPr>
        <w:t>0%标示值。</w:t>
      </w:r>
      <w:r>
        <w:rPr>
          <w:rFonts w:hint="eastAsia" w:ascii="仿宋_GB2312" w:hAnsi="仿宋" w:cs="Times New Roman"/>
          <w:color w:val="auto"/>
          <w:sz w:val="32"/>
          <w:szCs w:val="32"/>
          <w:lang w:eastAsia="zh-CN"/>
        </w:rPr>
        <w:t>产品营养标签中</w:t>
      </w:r>
      <w:r>
        <w:rPr>
          <w:rFonts w:hint="eastAsia" w:ascii="仿宋_GB2312" w:hAnsi="仿宋" w:eastAsia="仿宋_GB2312" w:cs="Times New Roman"/>
          <w:color w:val="auto"/>
          <w:sz w:val="32"/>
          <w:szCs w:val="32"/>
        </w:rPr>
        <w:t>钠</w:t>
      </w:r>
      <w:r>
        <w:rPr>
          <w:rFonts w:hint="eastAsia" w:ascii="仿宋_GB2312" w:hAnsi="仿宋" w:cs="Times New Roman"/>
          <w:color w:val="auto"/>
          <w:sz w:val="32"/>
          <w:szCs w:val="32"/>
          <w:lang w:eastAsia="zh-CN"/>
        </w:rPr>
        <w:t>的标注不</w:t>
      </w:r>
      <w:bookmarkStart w:id="0" w:name="_GoBack"/>
      <w:bookmarkEnd w:id="0"/>
      <w:r>
        <w:rPr>
          <w:rFonts w:hint="eastAsia" w:ascii="仿宋_GB2312" w:hAnsi="仿宋" w:cs="Times New Roman"/>
          <w:color w:val="auto"/>
          <w:sz w:val="32"/>
          <w:szCs w:val="32"/>
          <w:lang w:eastAsia="zh-CN"/>
        </w:rPr>
        <w:t>符合相关要求</w:t>
      </w:r>
      <w:r>
        <w:rPr>
          <w:rFonts w:hint="eastAsia" w:ascii="仿宋_GB2312" w:hAnsi="仿宋" w:eastAsia="仿宋_GB2312" w:cs="Times New Roman"/>
          <w:color w:val="auto"/>
          <w:sz w:val="32"/>
          <w:szCs w:val="32"/>
        </w:rPr>
        <w:t>，可能是</w:t>
      </w:r>
      <w:r>
        <w:rPr>
          <w:rFonts w:hint="eastAsia" w:ascii="仿宋_GB2312" w:hAnsi="仿宋" w:cs="Times New Roman"/>
          <w:color w:val="auto"/>
          <w:sz w:val="32"/>
          <w:szCs w:val="32"/>
          <w:lang w:eastAsia="zh-CN"/>
        </w:rPr>
        <w:t>企业在进行营养标签设计时对标准吃不透、把关不严，未按产品实际钠含量及其偏差范围进行标注</w:t>
      </w:r>
      <w:r>
        <w:rPr>
          <w:rFonts w:hint="eastAsia" w:ascii="仿宋_GB2312" w:hAnsi="仿宋" w:eastAsia="仿宋_GB2312" w:cs="Times New Roman"/>
          <w:color w:val="auto"/>
          <w:sz w:val="32"/>
          <w:szCs w:val="32"/>
        </w:rPr>
        <w:t>。</w:t>
      </w:r>
      <w:r>
        <w:rPr>
          <w:rFonts w:hint="eastAsia" w:ascii="仿宋_GB2312" w:hAnsi="仿宋" w:cs="Times New Roman"/>
          <w:color w:val="auto"/>
          <w:sz w:val="32"/>
          <w:szCs w:val="32"/>
          <w:lang w:eastAsia="zh-CN"/>
        </w:rPr>
        <w:t>营养</w:t>
      </w:r>
      <w:r>
        <w:rPr>
          <w:rFonts w:hint="eastAsia" w:ascii="仿宋_GB2312" w:hAnsi="仿宋" w:eastAsia="仿宋_GB2312"/>
          <w:color w:val="auto"/>
          <w:sz w:val="32"/>
          <w:szCs w:val="32"/>
        </w:rPr>
        <w:t>标签标识</w:t>
      </w:r>
      <w:r>
        <w:rPr>
          <w:rFonts w:hint="eastAsia" w:ascii="仿宋_GB2312" w:hAnsi="仿宋"/>
          <w:color w:val="auto"/>
          <w:sz w:val="32"/>
          <w:szCs w:val="32"/>
          <w:lang w:eastAsia="zh-CN"/>
        </w:rPr>
        <w:t>不合规</w:t>
      </w:r>
      <w:r>
        <w:rPr>
          <w:rFonts w:hint="eastAsia" w:ascii="仿宋_GB2312" w:hAnsi="仿宋" w:eastAsia="仿宋_GB2312"/>
          <w:color w:val="auto"/>
          <w:sz w:val="32"/>
          <w:szCs w:val="32"/>
        </w:rPr>
        <w:t>，</w:t>
      </w:r>
      <w:r>
        <w:rPr>
          <w:rFonts w:ascii="仿宋_GB2312" w:hAnsi="仿宋" w:eastAsia="仿宋_GB2312"/>
          <w:color w:val="auto"/>
          <w:sz w:val="32"/>
          <w:szCs w:val="32"/>
        </w:rPr>
        <w:t>将直接影响消费者对商品的判断和了解</w:t>
      </w:r>
      <w:r>
        <w:rPr>
          <w:rFonts w:hint="eastAsia" w:ascii="仿宋_GB2312" w:hAnsi="仿宋" w:eastAsia="仿宋_GB2312"/>
          <w:color w:val="auto"/>
          <w:sz w:val="32"/>
          <w:szCs w:val="32"/>
        </w:rPr>
        <w:t>，</w:t>
      </w:r>
      <w:r>
        <w:rPr>
          <w:rFonts w:hint="eastAsia" w:ascii="仿宋_GB2312" w:hAnsi="仿宋"/>
          <w:color w:val="auto"/>
          <w:sz w:val="32"/>
          <w:szCs w:val="32"/>
          <w:lang w:eastAsia="zh-CN"/>
        </w:rPr>
        <w:t>可能会增加特殊人群（如对摄入钠含量有要求的高血压人群等）的购买及食用</w:t>
      </w:r>
      <w:r>
        <w:rPr>
          <w:rFonts w:hint="eastAsia" w:ascii="仿宋_GB2312" w:hAnsi="仿宋" w:eastAsia="仿宋_GB2312"/>
          <w:color w:val="auto"/>
          <w:sz w:val="32"/>
          <w:szCs w:val="32"/>
        </w:rPr>
        <w:t>风险。</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000000"/>
          <w:sz w:val="32"/>
          <w:szCs w:val="32"/>
        </w:rPr>
      </w:pPr>
      <w:r>
        <w:rPr>
          <w:rFonts w:hint="eastAsia" w:ascii="黑体" w:hAnsi="黑体" w:eastAsia="黑体" w:cs="仿宋_GB2312"/>
          <w:color w:val="000000"/>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sz w:val="32"/>
          <w:szCs w:val="32"/>
        </w:rPr>
      </w:pPr>
      <w:r>
        <w:rPr>
          <w:rFonts w:hint="eastAsia" w:ascii="楷体_GB2312" w:hAnsi="楷体" w:eastAsia="楷体_GB2312"/>
          <w:b/>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sz w:val="32"/>
          <w:szCs w:val="32"/>
        </w:rPr>
      </w:pPr>
      <w:r>
        <w:rPr>
          <w:rFonts w:hint="eastAsia" w:ascii="仿宋_GB2312" w:hAnsi="仿宋" w:eastAsia="仿宋_GB2312"/>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加强生产过程的质量控制</w:t>
      </w:r>
    </w:p>
    <w:p>
      <w:pPr>
        <w:pStyle w:val="9"/>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食品生产过程是直接影响食品质量安全的关键。生产企业应严格执行食品加工过程标准工作程序，有效控制食品安全风险；提高操作人员的食品安全意识，督促员工建立良好的个人卫生习惯，遵守卫生标准操作程序，避免加工过程中的人为污染；定期对厂区内环境和设施进行消毒、清洁，并对环境进行微生物监测，以减少或避免生产过程中受到微生物的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eastAsia="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shd w:val="clear" w:color="auto" w:fill="FFFFFF"/>
        <w:spacing w:before="0" w:beforeAutospacing="0" w:after="0" w:afterAutospacing="0" w:line="560" w:lineRule="exact"/>
        <w:ind w:firstLine="643" w:firstLineChars="200"/>
        <w:jc w:val="both"/>
        <w:rPr>
          <w:rStyle w:val="12"/>
          <w:rFonts w:ascii="楷体_GB2312" w:hAnsi="楷体" w:eastAsia="楷体_GB2312"/>
          <w:color w:val="auto"/>
          <w:sz w:val="32"/>
          <w:szCs w:val="32"/>
        </w:rPr>
      </w:pPr>
      <w:r>
        <w:rPr>
          <w:rStyle w:val="12"/>
          <w:rFonts w:hint="eastAsia" w:ascii="楷体_GB2312" w:hAnsi="楷体" w:eastAsia="楷体_GB2312"/>
          <w:color w:val="auto"/>
          <w:sz w:val="32"/>
          <w:szCs w:val="32"/>
        </w:rPr>
        <w:t>（</w:t>
      </w:r>
      <w:r>
        <w:rPr>
          <w:rStyle w:val="12"/>
          <w:rFonts w:hint="eastAsia" w:ascii="楷体_GB2312" w:hAnsi="楷体" w:eastAsia="楷体_GB2312"/>
          <w:color w:val="auto"/>
          <w:sz w:val="32"/>
          <w:szCs w:val="32"/>
          <w:lang w:eastAsia="zh-CN"/>
        </w:rPr>
        <w:t>四</w:t>
      </w:r>
      <w:r>
        <w:rPr>
          <w:rStyle w:val="12"/>
          <w:rFonts w:hint="eastAsia" w:ascii="楷体_GB2312" w:hAnsi="楷体" w:eastAsia="楷体_GB2312"/>
          <w:color w:val="auto"/>
          <w:sz w:val="32"/>
          <w:szCs w:val="32"/>
        </w:rPr>
        <w:t>）加强食品从业人员培训</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eastAsia="仿宋_GB2312"/>
          <w:color w:val="auto"/>
          <w:sz w:val="32"/>
          <w:szCs w:val="32"/>
        </w:rPr>
      </w:pPr>
      <w:r>
        <w:rPr>
          <w:rFonts w:hint="eastAsia" w:ascii="仿宋_GB2312" w:hAnsi="仿宋" w:eastAsia="仿宋_GB2312"/>
          <w:color w:val="auto"/>
          <w:sz w:val="32"/>
          <w:szCs w:val="32"/>
        </w:rPr>
        <w:t>食品生产经营者应建立食品相关岗位的培训制度，加强日常监管及培训，对食品销售人员以及原辅料采购岗位的从业人员进行相应的食品安全知识培训</w:t>
      </w:r>
      <w:r>
        <w:rPr>
          <w:rFonts w:hint="eastAsia" w:ascii="仿宋_GB2312" w:hAnsi="仿宋" w:eastAsia="仿宋_GB2312" w:cs="仿宋"/>
          <w:color w:val="auto"/>
          <w:sz w:val="32"/>
          <w:szCs w:val="32"/>
        </w:rPr>
        <w:t>，</w:t>
      </w:r>
      <w:r>
        <w:rPr>
          <w:rFonts w:hint="eastAsia" w:ascii="仿宋_GB2312" w:hAnsi="仿宋" w:eastAsia="仿宋_GB2312" w:cs="仿宋"/>
          <w:snapToGrid w:val="0"/>
          <w:color w:val="auto"/>
          <w:sz w:val="32"/>
        </w:rPr>
        <w:t>提高从业人员的食品安全意识和维护食品安全能力</w:t>
      </w:r>
      <w:r>
        <w:rPr>
          <w:rFonts w:hint="eastAsia" w:ascii="仿宋_GB2312" w:hAnsi="仿宋" w:eastAsia="仿宋_GB2312"/>
          <w:color w:val="auto"/>
          <w:sz w:val="32"/>
          <w:szCs w:val="32"/>
        </w:rPr>
        <w:t>。食品从业人员应持有健康体检证明，需进行岗前培训和在岗培训，达到相应的岗位技术素质要求方可上岗。餐厨及服务人员应保持个人卫生，</w:t>
      </w:r>
      <w:r>
        <w:rPr>
          <w:rFonts w:hint="eastAsia" w:ascii="仿宋_GB2312" w:hAnsi="仿宋" w:eastAsia="仿宋_GB2312"/>
          <w:color w:val="auto"/>
          <w:sz w:val="32"/>
          <w:szCs w:val="32"/>
          <w:shd w:val="clear" w:color="auto" w:fill="FFFFFF"/>
        </w:rPr>
        <w:t>加工食品时应当将手洗净，穿戴清洁的工作衣帽。</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C535A9E-6F66-4064-91B5-156395242F8D}"/>
  </w:font>
  <w:font w:name="黑体">
    <w:panose1 w:val="02010609060101010101"/>
    <w:charset w:val="86"/>
    <w:family w:val="auto"/>
    <w:pitch w:val="default"/>
    <w:sig w:usb0="800002BF" w:usb1="38CF7CFA" w:usb2="00000016" w:usb3="00000000" w:csb0="00040001" w:csb1="00000000"/>
    <w:embedRegular r:id="rId2" w:fontKey="{93804102-8164-4A06-ADBF-02C8F051E29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CF180D1C-D8B8-49AB-A0E5-F4E8767C1B3D}"/>
  </w:font>
  <w:font w:name="楷体_GB2312">
    <w:panose1 w:val="02010609030101010101"/>
    <w:charset w:val="86"/>
    <w:family w:val="auto"/>
    <w:pitch w:val="default"/>
    <w:sig w:usb0="00000001" w:usb1="080E0000" w:usb2="00000000" w:usb3="00000000" w:csb0="00040000" w:csb1="00000000"/>
    <w:embedRegular r:id="rId4" w:fontKey="{998C7F2B-41D3-4139-9213-8D384B5D170D}"/>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00000000" w:usb1="00000000" w:usb2="00000000" w:usb3="00000000" w:csb0="00000000" w:csb1="00000000"/>
    <w:embedRegular r:id="rId5" w:fontKey="{B662E938-2D4D-4678-967A-35BF666F2C8E}"/>
  </w:font>
  <w:font w:name="华文中宋">
    <w:panose1 w:val="02010600040101010101"/>
    <w:charset w:val="86"/>
    <w:family w:val="auto"/>
    <w:pitch w:val="default"/>
    <w:sig w:usb0="00000287" w:usb1="080F0000" w:usb2="00000000" w:usb3="00000000" w:csb0="0004009F" w:csb1="DFD70000"/>
    <w:embedRegular r:id="rId6" w:fontKey="{385D5628-4EE0-4E71-8BC4-BA3C3E1A61AF}"/>
  </w:font>
  <w:font w:name="仿宋">
    <w:panose1 w:val="02010609060101010101"/>
    <w:charset w:val="86"/>
    <w:family w:val="modern"/>
    <w:pitch w:val="default"/>
    <w:sig w:usb0="800002BF" w:usb1="38CF7CFA" w:usb2="00000016" w:usb3="00000000" w:csb0="00040001" w:csb1="00000000"/>
    <w:embedRegular r:id="rId7" w:fontKey="{E06176C8-8C91-4559-9E1B-4698E3607266}"/>
  </w:font>
  <w:font w:name="楷体">
    <w:panose1 w:val="02010609060101010101"/>
    <w:charset w:val="86"/>
    <w:family w:val="modern"/>
    <w:pitch w:val="default"/>
    <w:sig w:usb0="800002BF" w:usb1="38CF7CFA" w:usb2="00000016" w:usb3="00000000" w:csb0="00040001" w:csb1="00000000"/>
    <w:embedRegular r:id="rId8" w:fontKey="{DC671558-8D46-4FBC-99CE-668C95E45BC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B36E8D"/>
    <w:multiLevelType w:val="singleLevel"/>
    <w:tmpl w:val="5BB36E8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0D4506"/>
    <w:rsid w:val="006B1DCC"/>
    <w:rsid w:val="00724BD2"/>
    <w:rsid w:val="008D6C99"/>
    <w:rsid w:val="00B977A2"/>
    <w:rsid w:val="00BE4BAD"/>
    <w:rsid w:val="010D4506"/>
    <w:rsid w:val="017D0269"/>
    <w:rsid w:val="01D53863"/>
    <w:rsid w:val="023D4406"/>
    <w:rsid w:val="034743C9"/>
    <w:rsid w:val="034F1986"/>
    <w:rsid w:val="03E020C5"/>
    <w:rsid w:val="03FD00B3"/>
    <w:rsid w:val="055921C9"/>
    <w:rsid w:val="055A195A"/>
    <w:rsid w:val="06144E65"/>
    <w:rsid w:val="066C5CEA"/>
    <w:rsid w:val="06F0528D"/>
    <w:rsid w:val="07C82C95"/>
    <w:rsid w:val="081209FA"/>
    <w:rsid w:val="081B38E6"/>
    <w:rsid w:val="08AD06EB"/>
    <w:rsid w:val="08F00F9F"/>
    <w:rsid w:val="091C5D20"/>
    <w:rsid w:val="0A101FAB"/>
    <w:rsid w:val="0A545255"/>
    <w:rsid w:val="0AEA5DCE"/>
    <w:rsid w:val="0B66492E"/>
    <w:rsid w:val="0C455D22"/>
    <w:rsid w:val="0C6F4539"/>
    <w:rsid w:val="0CD4225F"/>
    <w:rsid w:val="0D6C4E32"/>
    <w:rsid w:val="0E431583"/>
    <w:rsid w:val="0EA93008"/>
    <w:rsid w:val="0EC839C2"/>
    <w:rsid w:val="0F261454"/>
    <w:rsid w:val="10AD16A7"/>
    <w:rsid w:val="1162065F"/>
    <w:rsid w:val="11B32DA0"/>
    <w:rsid w:val="11BA183E"/>
    <w:rsid w:val="11CE6913"/>
    <w:rsid w:val="11E172CB"/>
    <w:rsid w:val="1210526E"/>
    <w:rsid w:val="12AF7645"/>
    <w:rsid w:val="12B51B83"/>
    <w:rsid w:val="139A1CB2"/>
    <w:rsid w:val="13E774D5"/>
    <w:rsid w:val="141B2394"/>
    <w:rsid w:val="1512088F"/>
    <w:rsid w:val="155219D3"/>
    <w:rsid w:val="15FE7C46"/>
    <w:rsid w:val="16396F4B"/>
    <w:rsid w:val="16A52765"/>
    <w:rsid w:val="176818BF"/>
    <w:rsid w:val="17C62E78"/>
    <w:rsid w:val="17FA5E44"/>
    <w:rsid w:val="181E6360"/>
    <w:rsid w:val="18F91C2D"/>
    <w:rsid w:val="199008F8"/>
    <w:rsid w:val="19EB104A"/>
    <w:rsid w:val="1A19393D"/>
    <w:rsid w:val="1AC759AF"/>
    <w:rsid w:val="1B042E72"/>
    <w:rsid w:val="1C2B3ECE"/>
    <w:rsid w:val="1C354059"/>
    <w:rsid w:val="1EFD4E3F"/>
    <w:rsid w:val="1F456A61"/>
    <w:rsid w:val="1FEA3D63"/>
    <w:rsid w:val="200B2815"/>
    <w:rsid w:val="2103478D"/>
    <w:rsid w:val="219C06C7"/>
    <w:rsid w:val="231A399D"/>
    <w:rsid w:val="248553AF"/>
    <w:rsid w:val="249A66FD"/>
    <w:rsid w:val="255973C6"/>
    <w:rsid w:val="255D305C"/>
    <w:rsid w:val="257D0D7B"/>
    <w:rsid w:val="25D84592"/>
    <w:rsid w:val="26635934"/>
    <w:rsid w:val="26D25598"/>
    <w:rsid w:val="27084E46"/>
    <w:rsid w:val="274815F0"/>
    <w:rsid w:val="27537B32"/>
    <w:rsid w:val="27D171E0"/>
    <w:rsid w:val="282A264F"/>
    <w:rsid w:val="28664823"/>
    <w:rsid w:val="29292876"/>
    <w:rsid w:val="295771E6"/>
    <w:rsid w:val="29DF09A6"/>
    <w:rsid w:val="2A706ED1"/>
    <w:rsid w:val="2ACC6C6B"/>
    <w:rsid w:val="2C784420"/>
    <w:rsid w:val="2D2D024C"/>
    <w:rsid w:val="2DA27B95"/>
    <w:rsid w:val="2E172668"/>
    <w:rsid w:val="2E6B3A9D"/>
    <w:rsid w:val="2F085758"/>
    <w:rsid w:val="2F4F707A"/>
    <w:rsid w:val="2FFC71C6"/>
    <w:rsid w:val="307B5CC3"/>
    <w:rsid w:val="308A4336"/>
    <w:rsid w:val="31200851"/>
    <w:rsid w:val="3189778C"/>
    <w:rsid w:val="31AA7543"/>
    <w:rsid w:val="31EA5456"/>
    <w:rsid w:val="323F00BC"/>
    <w:rsid w:val="324700B2"/>
    <w:rsid w:val="330F0153"/>
    <w:rsid w:val="33132CF8"/>
    <w:rsid w:val="3334531C"/>
    <w:rsid w:val="348E513C"/>
    <w:rsid w:val="34B74329"/>
    <w:rsid w:val="35BC7A15"/>
    <w:rsid w:val="36A26439"/>
    <w:rsid w:val="37790A88"/>
    <w:rsid w:val="37DD6246"/>
    <w:rsid w:val="382D7593"/>
    <w:rsid w:val="38622AFA"/>
    <w:rsid w:val="387272BF"/>
    <w:rsid w:val="38865B2F"/>
    <w:rsid w:val="39275408"/>
    <w:rsid w:val="398B0B0F"/>
    <w:rsid w:val="39C64A66"/>
    <w:rsid w:val="3AB301FA"/>
    <w:rsid w:val="3B1904CB"/>
    <w:rsid w:val="3B2518DE"/>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40191044"/>
    <w:rsid w:val="428251DB"/>
    <w:rsid w:val="42D71D53"/>
    <w:rsid w:val="43974288"/>
    <w:rsid w:val="439F5506"/>
    <w:rsid w:val="44141429"/>
    <w:rsid w:val="44D452BA"/>
    <w:rsid w:val="45104BE6"/>
    <w:rsid w:val="460F4F06"/>
    <w:rsid w:val="464A4562"/>
    <w:rsid w:val="4848609B"/>
    <w:rsid w:val="4864409A"/>
    <w:rsid w:val="48E60C18"/>
    <w:rsid w:val="49346CC6"/>
    <w:rsid w:val="4B37566A"/>
    <w:rsid w:val="4C7A639D"/>
    <w:rsid w:val="4CE91A69"/>
    <w:rsid w:val="4DAC348D"/>
    <w:rsid w:val="4EBC0748"/>
    <w:rsid w:val="4ECC3762"/>
    <w:rsid w:val="4FE23640"/>
    <w:rsid w:val="4FED4605"/>
    <w:rsid w:val="503305EE"/>
    <w:rsid w:val="50561BEF"/>
    <w:rsid w:val="52332F51"/>
    <w:rsid w:val="528B5881"/>
    <w:rsid w:val="52A0415B"/>
    <w:rsid w:val="52E13353"/>
    <w:rsid w:val="52FE47AC"/>
    <w:rsid w:val="533A17A5"/>
    <w:rsid w:val="53465E28"/>
    <w:rsid w:val="534B1050"/>
    <w:rsid w:val="53785E73"/>
    <w:rsid w:val="539260FB"/>
    <w:rsid w:val="53FD7C6B"/>
    <w:rsid w:val="548A3477"/>
    <w:rsid w:val="550906E8"/>
    <w:rsid w:val="551B6EF1"/>
    <w:rsid w:val="557E5EAF"/>
    <w:rsid w:val="56D02FB6"/>
    <w:rsid w:val="5737759B"/>
    <w:rsid w:val="577D74E9"/>
    <w:rsid w:val="57FE2087"/>
    <w:rsid w:val="586B71C9"/>
    <w:rsid w:val="590154BD"/>
    <w:rsid w:val="59527B6B"/>
    <w:rsid w:val="59E33FF0"/>
    <w:rsid w:val="59EA54F5"/>
    <w:rsid w:val="5A5B4E1E"/>
    <w:rsid w:val="5B13142F"/>
    <w:rsid w:val="5C000884"/>
    <w:rsid w:val="5C224F8E"/>
    <w:rsid w:val="5C240B88"/>
    <w:rsid w:val="5E0D1B19"/>
    <w:rsid w:val="5E214E94"/>
    <w:rsid w:val="5E275C6B"/>
    <w:rsid w:val="5E553A15"/>
    <w:rsid w:val="5E7004E1"/>
    <w:rsid w:val="5E9E3209"/>
    <w:rsid w:val="5ECD4C7F"/>
    <w:rsid w:val="5F093C78"/>
    <w:rsid w:val="5F5A1107"/>
    <w:rsid w:val="5F831A12"/>
    <w:rsid w:val="6048573D"/>
    <w:rsid w:val="617E5460"/>
    <w:rsid w:val="61E02C8B"/>
    <w:rsid w:val="62547A4D"/>
    <w:rsid w:val="638239E5"/>
    <w:rsid w:val="63E10B0C"/>
    <w:rsid w:val="63F3279C"/>
    <w:rsid w:val="640612C6"/>
    <w:rsid w:val="6500065A"/>
    <w:rsid w:val="6537764C"/>
    <w:rsid w:val="65E578BD"/>
    <w:rsid w:val="666A4D62"/>
    <w:rsid w:val="668A5EDC"/>
    <w:rsid w:val="67180D7A"/>
    <w:rsid w:val="6756300A"/>
    <w:rsid w:val="67663F7B"/>
    <w:rsid w:val="6792245C"/>
    <w:rsid w:val="67AC56C6"/>
    <w:rsid w:val="6801069F"/>
    <w:rsid w:val="680F265C"/>
    <w:rsid w:val="69130912"/>
    <w:rsid w:val="69CB77D8"/>
    <w:rsid w:val="6A323B2C"/>
    <w:rsid w:val="6B1806CB"/>
    <w:rsid w:val="6C2646D1"/>
    <w:rsid w:val="6C721C9A"/>
    <w:rsid w:val="6C942E03"/>
    <w:rsid w:val="6D731B27"/>
    <w:rsid w:val="6E9610D2"/>
    <w:rsid w:val="6ECD36FF"/>
    <w:rsid w:val="6F1957D5"/>
    <w:rsid w:val="70254438"/>
    <w:rsid w:val="71DB6825"/>
    <w:rsid w:val="72A04A1F"/>
    <w:rsid w:val="72F24D9D"/>
    <w:rsid w:val="733275F5"/>
    <w:rsid w:val="738026E3"/>
    <w:rsid w:val="74104D2B"/>
    <w:rsid w:val="7432739D"/>
    <w:rsid w:val="747927C4"/>
    <w:rsid w:val="754B170B"/>
    <w:rsid w:val="756F7B86"/>
    <w:rsid w:val="75A82AC5"/>
    <w:rsid w:val="75CA36CA"/>
    <w:rsid w:val="763955BF"/>
    <w:rsid w:val="773A01B0"/>
    <w:rsid w:val="77FC16E5"/>
    <w:rsid w:val="78BC4EF9"/>
    <w:rsid w:val="78C82F23"/>
    <w:rsid w:val="78FE0A2F"/>
    <w:rsid w:val="792F0912"/>
    <w:rsid w:val="7A7C11A9"/>
    <w:rsid w:val="7A895DC7"/>
    <w:rsid w:val="7B5E04A9"/>
    <w:rsid w:val="7BE41421"/>
    <w:rsid w:val="7C073518"/>
    <w:rsid w:val="7C4079FA"/>
    <w:rsid w:val="7F270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4">
    <w:name w:val="heading 1"/>
    <w:basedOn w:val="1"/>
    <w:next w:val="1"/>
    <w:qFormat/>
    <w:uiPriority w:val="0"/>
    <w:pPr>
      <w:keepNext/>
      <w:keepLines/>
      <w:spacing w:before="340" w:after="330" w:line="576" w:lineRule="auto"/>
      <w:outlineLvl w:val="0"/>
    </w:pPr>
    <w:rPr>
      <w:rFonts w:eastAsia="楷体_GB2312"/>
      <w:b/>
      <w:kern w:val="44"/>
    </w:rPr>
  </w:style>
  <w:style w:type="paragraph" w:styleId="5">
    <w:name w:val="heading 2"/>
    <w:basedOn w:val="1"/>
    <w:next w:val="1"/>
    <w:link w:val="17"/>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3"/>
    <w:basedOn w:val="1"/>
    <w:next w:val="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before="0"/>
      <w:ind w:left="420" w:leftChars="200" w:firstLine="420"/>
    </w:pPr>
  </w:style>
  <w:style w:type="paragraph" w:styleId="3">
    <w:name w:val="Body Text Indent"/>
    <w:basedOn w:val="1"/>
    <w:qFormat/>
    <w:uiPriority w:val="0"/>
    <w:pPr>
      <w:spacing w:before="120" w:after="120"/>
      <w:ind w:firstLine="480"/>
    </w:pPr>
    <w:rPr>
      <w:rFonts w:ascii="宋体" w:hAnsi="宋体"/>
      <w:sz w:val="24"/>
      <w:szCs w:val="20"/>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Hyperlink"/>
    <w:basedOn w:val="11"/>
    <w:qFormat/>
    <w:uiPriority w:val="0"/>
    <w:rPr>
      <w:color w:val="0000FF"/>
      <w:u w:val="single"/>
    </w:rPr>
  </w:style>
  <w:style w:type="paragraph" w:customStyle="1" w:styleId="14">
    <w:name w:val="本文正文"/>
    <w:basedOn w:val="1"/>
    <w:qFormat/>
    <w:uiPriority w:val="0"/>
    <w:pPr>
      <w:spacing w:line="360" w:lineRule="auto"/>
      <w:ind w:firstLine="803"/>
    </w:pPr>
    <w:rPr>
      <w:rFonts w:ascii="宋体" w:hAnsi="宋体"/>
      <w:sz w:val="24"/>
    </w:rPr>
  </w:style>
  <w:style w:type="character" w:customStyle="1" w:styleId="15">
    <w:name w:val="页眉 字符"/>
    <w:basedOn w:val="11"/>
    <w:link w:val="8"/>
    <w:qFormat/>
    <w:uiPriority w:val="0"/>
    <w:rPr>
      <w:rFonts w:ascii="Calibri" w:hAnsi="Calibri" w:eastAsia="仿宋_GB2312"/>
      <w:kern w:val="2"/>
      <w:sz w:val="18"/>
      <w:szCs w:val="18"/>
    </w:rPr>
  </w:style>
  <w:style w:type="character" w:customStyle="1" w:styleId="16">
    <w:name w:val="页脚 字符"/>
    <w:basedOn w:val="11"/>
    <w:link w:val="7"/>
    <w:qFormat/>
    <w:uiPriority w:val="0"/>
    <w:rPr>
      <w:rFonts w:ascii="Calibri" w:hAnsi="Calibri" w:eastAsia="仿宋_GB2312"/>
      <w:kern w:val="2"/>
      <w:sz w:val="18"/>
      <w:szCs w:val="18"/>
    </w:rPr>
  </w:style>
  <w:style w:type="character" w:customStyle="1" w:styleId="17">
    <w:name w:val="标题 2 字符"/>
    <w:basedOn w:val="11"/>
    <w:link w:val="5"/>
    <w:semiHidden/>
    <w:qFormat/>
    <w:uiPriority w:val="0"/>
    <w:rPr>
      <w:rFonts w:asciiTheme="majorHAnsi" w:hAnsiTheme="majorHAnsi" w:eastAsiaTheme="majorEastAsia" w:cstheme="majorBidi"/>
      <w:b/>
      <w:bCs/>
      <w:kern w:val="2"/>
      <w:sz w:val="32"/>
      <w:szCs w:val="32"/>
    </w:rPr>
  </w:style>
  <w:style w:type="paragraph" w:customStyle="1" w:styleId="18">
    <w:name w:val="列出段落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600</Words>
  <Characters>3426</Characters>
  <Lines>28</Lines>
  <Paragraphs>8</Paragraphs>
  <TotalTime>1</TotalTime>
  <ScaleCrop>false</ScaleCrop>
  <LinksUpToDate>false</LinksUpToDate>
  <CharactersWithSpaces>4018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盐姜鱼</cp:lastModifiedBy>
  <dcterms:modified xsi:type="dcterms:W3CDTF">2021-09-13T06:53:01Z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2BCBADEB164F420AB7CA92621D404113</vt:lpwstr>
  </property>
</Properties>
</file>