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ascii="黑体" w:hAnsi="黑体" w:eastAsia="黑体" w:cs="黑体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深圳市菜篮子基地综合考评现场复核表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基地名称：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基地类别：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基地地址：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4"/>
        <w:gridCol w:w="4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现场复核内容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基地搬迁、改变经营类型或出现其他生产经营异常情况。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6" w:lineRule="auto"/>
              <w:jc w:val="left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2.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基地场所使用年限将满应续签但未续签。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基地环境发生重大变化，达不到基地环境要求，影响农产品质量安全，且未主动报告的。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使用国家禁止使用的农药、兽药或者其他化学物质的。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5.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基地产品在农产品质量安全检测中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检出含有国家禁止使用的药物或其他化学物质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；或一年内累计3次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抽检</w:t>
            </w:r>
            <w:r>
              <w:rPr>
                <w:rFonts w:ascii="仿宋_GB2312" w:hAnsi="仿宋_GB2312" w:eastAsia="仿宋_GB2312" w:cs="仿宋_GB2312"/>
                <w:sz w:val="20"/>
              </w:rPr>
              <w:t>样品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含有</w:t>
            </w:r>
            <w:r>
              <w:rPr>
                <w:rFonts w:ascii="仿宋_GB2312" w:hAnsi="仿宋_GB2312" w:eastAsia="仿宋_GB2312" w:cs="仿宋_GB2312"/>
                <w:sz w:val="20"/>
              </w:rPr>
              <w:t>国家限制使用的药物、添加剂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6.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基地在近三年内发生过较大农产品质量安全事故（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Ⅲ</w:t>
            </w:r>
            <w:r>
              <w:rPr>
                <w:rFonts w:ascii="仿宋_GB2312" w:hAnsi="仿宋_GB2312" w:eastAsia="仿宋_GB2312" w:cs="仿宋_GB2312"/>
                <w:sz w:val="20"/>
              </w:rPr>
              <w:t>级）（以《广东省农产品质量安全事故应急预案》规定的事故分级为标准）。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7.不提交或逾期提交自评材料、不配合综合考评视为自动放弃考评资格。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8.不履行《深圳市菜篮子基地认定、监测与考评管理办法》第七条规定义务的。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基地所提交资料不真实，存在弄虚作假或伪造等情形的。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10.</w:t>
            </w:r>
            <w:r>
              <w:rPr>
                <w:rFonts w:ascii="仿宋_GB2312" w:hAnsi="仿宋_GB2312" w:eastAsia="仿宋_GB2312" w:cs="仿宋_GB2312"/>
                <w:sz w:val="20"/>
              </w:rPr>
              <w:t>其他不应纳入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年度综合</w:t>
            </w:r>
            <w:r>
              <w:rPr>
                <w:rFonts w:ascii="仿宋_GB2312" w:hAnsi="仿宋_GB2312" w:eastAsia="仿宋_GB2312" w:cs="仿宋_GB2312"/>
                <w:sz w:val="20"/>
              </w:rPr>
              <w:t>考评的情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形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现场复核结果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□符合</w:t>
            </w:r>
            <w:r>
              <w:rPr>
                <w:rFonts w:ascii="仿宋_GB2312" w:hAnsi="仿宋_GB2312" w:eastAsia="仿宋_GB2312" w:cs="仿宋_GB2312"/>
                <w:b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□不符合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考评组签字：</w:t>
      </w:r>
      <w:r>
        <w:rPr>
          <w:rFonts w:ascii="仿宋_GB2312" w:hAnsi="仿宋_GB2312" w:eastAsia="仿宋_GB2312" w:cs="仿宋_GB2312"/>
          <w:color w:val="000000"/>
          <w:kern w:val="0"/>
          <w:sz w:val="22"/>
          <w:szCs w:val="28"/>
        </w:rPr>
        <w:t xml:space="preserve">                   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22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日期：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</w:pPr>
    </w:p>
    <w:p/>
    <w:sectPr>
      <w:footerReference r:id="rId3" w:type="default"/>
      <w:footerReference r:id="rId4" w:type="even"/>
      <w:pgSz w:w="16838" w:h="11911" w:orient="landscape"/>
      <w:pgMar w:top="1474" w:right="1587" w:bottom="1474" w:left="1587" w:header="850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- 41 -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- 40 -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5A9B"/>
    <w:rsid w:val="6AC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2021-05-17T06:56:00Z</dcterms:created>
  <dc:creator>zhangyn4</dc:creator>
  <cp:lastModifiedBy>张耀楠</cp:lastModifiedBy>
  <dcterms:modified xsi:type="dcterms:W3CDTF">2021-11-26T07:59:52Z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