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hint="eastAsia" w:ascii="宋体" w:hAnsi="宋体" w:eastAsia="宋体" w:cs="仿宋_GB2312"/>
          <w:b/>
          <w:sz w:val="44"/>
          <w:szCs w:val="44"/>
        </w:rPr>
      </w:pPr>
      <w:r>
        <w:rPr>
          <w:rFonts w:hint="eastAsia" w:ascii="宋体" w:hAnsi="宋体" w:eastAsia="宋体" w:cs="仿宋_GB2312"/>
          <w:b/>
          <w:sz w:val="44"/>
          <w:szCs w:val="44"/>
        </w:rPr>
        <w:t>换证申报材料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1.《〈药品经营许可证〉（批发、零售连锁）换发申请表》（请在办事指南下载区下载）。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2.营业执照（可通过系统自动获取）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3.经营场所和仓库平面图。委托配送的需上传委托配送合同和质量保证协议原件。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4.注册地址和仓库地址房屋产权或使用权证明原件、租赁合同原件。注册地址或仓库地址房屋的产权或使用权不明确的，必须附乡镇（或街道）或以上政府部门出具的临时性经营场所使用证明文件原件。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5.企业负责人学历证书原件(归国留学人员需提供教育部留学服务中心出具</w:t>
      </w:r>
      <w:bookmarkStart w:id="0" w:name="_GoBack"/>
      <w:bookmarkEnd w:id="0"/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的《国外学历学位认证书》)和质量负责人学历证书原件(归国留学人员需提供教育部留学服务中心出具的《国外学历学位认证书》)、执业药师注册证（可通过网络核查）。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6.《药品经营许可证》正、副本原件（通过系统自动获取）。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7.证件到期前两年以内接受过各级药品监督管理部门组织开展的GSP相关监督检查的检查证明材料及企业落实整改报告（检查记录、落实整改报告等需加盖企业公章）。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8.药品经营许可证换证同时涉及变更的，需将相应的变更材料一并上传到申报系统中。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9.《告知承诺制审批承诺书》（请在办事指南下载区下载）。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4576E"/>
    <w:rsid w:val="0D023A59"/>
    <w:rsid w:val="167645C7"/>
    <w:rsid w:val="2AC4576E"/>
    <w:rsid w:val="4B3F42D9"/>
    <w:rsid w:val="D7F7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2022-01-10T15:17:00Z</dcterms:created>
  <dc:creator>徐静</dc:creator>
  <cp:lastModifiedBy>huangws2</cp:lastModifiedBy>
  <dcterms:modified xsi:type="dcterms:W3CDTF">2022-01-19T16:10:55Z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