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jc w:val="both"/>
        <w:textAlignment w:val="auto"/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outlineLvl w:val="0"/>
        <w:rPr>
          <w:rFonts w:hint="eastAsia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color w:val="auto"/>
          <w:kern w:val="44"/>
          <w:sz w:val="44"/>
          <w:szCs w:val="24"/>
          <w:lang w:val="en-US" w:eastAsia="zh-CN" w:bidi="ar-SA"/>
        </w:rPr>
        <w:t>关于促进质量提升推动品牌升级的若干措施</w:t>
      </w:r>
      <w:r>
        <w:rPr>
          <w:rFonts w:hint="eastAsia" w:eastAsia="方正小标宋简体" w:cs="Times New Roman"/>
          <w:color w:val="auto"/>
          <w:kern w:val="44"/>
          <w:sz w:val="44"/>
          <w:szCs w:val="24"/>
          <w:lang w:val="en-US" w:eastAsia="zh-CN" w:bidi="ar-SA"/>
        </w:rPr>
        <w:t>（征求意见稿）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宋体" w:cs="Times New Roman"/>
          <w:color w:val="auto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为贯彻落实党中央、国务院关于推动质量提升、建设质量强国的重大决策部署，大力推进质量变革创新，加快提升经济质量效益和竞争力，打造一流“深圳质量”，树立响亮“深圳品牌”，为推动高质量发展、开创新发展格局提供有力支撑，制定以下若干措施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Lines="0" w:beforeAutospacing="0" w:afterLines="0" w:afterAutospacing="0"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eastAsia" w:ascii="黑体" w:hAnsi="黑体" w:eastAsia="黑体" w:cs="Times New Roman"/>
          <w:color w:val="auto"/>
          <w:kern w:val="2"/>
          <w:sz w:val="32"/>
          <w:szCs w:val="24"/>
          <w:lang w:val="en-US" w:eastAsia="zh-CN" w:bidi="ar-SA"/>
        </w:rPr>
        <w:t>一、优化供给扩大消费，促进产业发展质量和产品服务质量“双提升”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（一）推进产业链质量提升。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瞄准产业变革、消费升级方向，推动产业价值链升级行动。支持产学研测共建质量服务综合体，在国内外比较研究基础上，实施产业质量状况调查和竞争力评估，找准行业短板和质量通病，形成行业非竞争性共性质量问题解决方案并应用，促进产业提质增效，加快打造一批创新力强、附加值高、安全高效的产业链供应链。对于为行业质量提升提供综合服务，有效增强产业整体质量水平和竞争力的项目，予以300万元资助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（二）提升企业优质供给能力。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引导企业以市场需求、技术需求为导向，加快质量创新变革，促进重点产品性能达到国际先进水平。支持企业瞄准先进标杆，实施质量攻关工程，加强质量设计、计量测试、试验验证、安全评价、质量认证等关键技术开发应用，突破制约产品性能、寿命、可靠性、环保性等提升的技术瓶颈。鼓励面向生产系统优化、产业链协同和用户为中心生态圈打造，开展共性质量管理理论、方法、工具创新，重点支持产品生命周期运维、计量溯源、数字化质量管控、质量体系升级等活动，实现质量层次由“符合性”向“满意度”跃升。对取得明显经济社会效益的质量技术、管理、工作法创新项目，予以30万元资助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（三）以新供给适应引领新需求。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大力推行高端品质认证，传递质量信任，促进质量对接。鼓励绿色生产消费，支持企业开展绿色产品认证、绿色金融认证、碳足迹认证等绿色认证活动。支持企业获得车规芯片、机器人等新产品新领域高端权威认证，有效拓展国内外市场。对取得绿色认证等高端认证的企业，每项认证予以最高5万元资助。对通过“圳品”“深圳标准认证”的企业，按照相关政策予以扶持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（四）营造可信任消费环境。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加强质量水平统计监测，推动分行业建立质量性能评价体系，开展质量指数测评与发布制度。探索创新产品“沙盒监管”模式，建立重点产品“快检快查”机制，构建以缺陷产品召回为核心的质量安全风险管理体系，落实信用奖惩措施。支持优势企业建立质量分级制度，实施产品统一标识、合规承诺、电子追溯、质量责任保险等制度。鼓励第三方机构开展产品和服务质量比较试验、综合评价、体验式调查，有效引导激励消费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Lines="0" w:beforeAutospacing="0" w:afterLines="0" w:afterAutospacing="0"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theme="minorBidi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eastAsia" w:ascii="黑体" w:hAnsi="黑体" w:eastAsia="黑体" w:cstheme="minorBidi"/>
          <w:color w:val="auto"/>
          <w:kern w:val="2"/>
          <w:sz w:val="32"/>
          <w:szCs w:val="24"/>
          <w:lang w:val="en-US" w:eastAsia="zh-CN" w:bidi="ar-SA"/>
        </w:rPr>
        <w:t>二、</w:t>
      </w:r>
      <w:r>
        <w:rPr>
          <w:rFonts w:hint="eastAsia" w:ascii="黑体" w:hAnsi="黑体" w:eastAsia="黑体" w:cstheme="minorBidi"/>
          <w:b w:val="0"/>
          <w:bCs w:val="0"/>
          <w:color w:val="auto"/>
          <w:kern w:val="2"/>
          <w:sz w:val="32"/>
          <w:szCs w:val="24"/>
          <w:lang w:val="en-US" w:eastAsia="zh-CN" w:bidi="ar-SA"/>
        </w:rPr>
        <w:t>释放质量基础设施效能，实现质量技术基础和公共服务能力“双增强”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（五）布局重大质量基础设施。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面向产业前沿需求，部署集聚计量、标准、检验检测、认证认可等国家质量基础设施，加快医疗器械、智能终端、集成电路等战略性产业发展急需重大功能平台的落地。支持高新区、产业园和产业集群配套检验检测服务平台，提升平台专业化、数字化、国际化水平。对经认定的国家、省、市级产业公共技术服务平台、质量标准实验室，我市制造强市扶持政策予以资助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（六）夯实产业升级技术基础。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强化高端制造、精密制造、智能制造所需质量技术基础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，加快先进技术要素向现实生产力转化。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打造标准引领优势。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支持企业制定引领性技术标准，参与或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主导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国家标准、国际标准，提高行业质量基线。鼓励开展标准验证，不断提高标准质量。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鼓励引进、培育国际国内专业标准化组织，支持企事业单位承担标准化专业机构工作，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推动更多新产品进入国内外市场。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建设现代先进测量体系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。支持企事业单位积极参与国家计量科技基础、产业计量前沿技术研究开发和计量技术规范制修订工作，重点提升高新技术、食品安全、节能减排等领域计量检测能力，推行产业量值数据工程。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对主导制定或参加国际建议、国家、省计量检定规程与技术规范制定，承担国际国内计量技术专业机构（TC、SC）工作，获评全国能源资源、工业计量等示范和标杆，以及新建市级社会公用计量标准的组织，按项目予以最高80万元资助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深化检测认证国际合作。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以推动“一次检测认证、国际通行”为目标，支持检验检测认证机构、企业实验室等围绕畅通“双循环”，积极参与认证认可国际互认合作，对获得A2LA、NVLAP、UKAS等知名国际认可的单位，予以最高30万元资助。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yellow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（七）建设协同应用示范基地。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坚持应用导向、遵循市场机制，推动质量基础设施融合创新和综合应用。打造全市计量检测认证服务信息化平台，支持设备资源开放。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推进深圳“产品学校”“产品医院”建设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应用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，加强质量基础教育宣传。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鼓励粤港澳大湾区计量检测认证领域规则对接、设施互通和融合发展，促进要素资源自由流通。支持各类市场主体建设“一站式”质量技术服务示范点，融通运用计量检测、标准验证、质量和可靠性管理、认证认可、品牌建设、知识产权运营与保护等技术和管理手段，为中小微企业和产业集群稳增长拓市场提供精准服务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对创新质量基础设施集成应用场景、服务模式，具有示范推广价值的项目，予以20万元资助。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Lines="0" w:beforeAutospacing="0" w:afterLines="0" w:afterAutospacing="0"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theme="minorBidi"/>
          <w:b w:val="0"/>
          <w:bCs w:val="0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eastAsia" w:ascii="黑体" w:hAnsi="黑体" w:eastAsia="黑体" w:cstheme="minorBidi"/>
          <w:b w:val="0"/>
          <w:bCs w:val="0"/>
          <w:color w:val="auto"/>
          <w:kern w:val="2"/>
          <w:sz w:val="32"/>
          <w:szCs w:val="24"/>
          <w:lang w:val="en-US" w:eastAsia="zh-CN" w:bidi="ar-SA"/>
        </w:rPr>
        <w:t>三、培树质量品牌领航企业，推动卓越级质量和高价值品牌“双示范”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（八）树立“深圳质量”新标杆。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优化完善质量激励政策，依照相关规定开展市长质量奖评选表彰，树立质量标杆，弘扬质量文化，示范引领全社会创造高质量，为“中国质量”输出深圳经验、范例。对首次获得中国质量奖、中国质量奖提名奖的单位，分别予以300万元、100万元奖励。对首次获得广东省政府质量奖、广东省政府质量奖提名奖的单位，分别予以100万元、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0万元奖励。对首次获得深圳市市长质量奖的单位，按等次分别予以200万元、100万元和50万元奖励。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（九）培育质量型企业梯队。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锚定高效益、高效率、高品质，紧扣新产业新动能实施“卓越企业启航”计划，鼓励重点企业实施国际化视野下的质量战略，基于需求导向的有效创新实现高效率运营、高绩效发展，打造“深圳质量”新优势。对按照《卓越绩效准则》等先进质量体系经评价达到较高成熟度的单位，予以30万元资助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（十）创建区域质量品牌名片。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创新品牌建设工作机制，鼓励和支持高新区、产业园、产业集群开展区域商标品牌建设，引导区内企业联合开展商标品牌创建与保护，依托集体商标、证明商标等载体，深化业务融合、技术渗透、链条延伸、品牌合作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以品牌集聚带动优势资源要素汇聚，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增强品牌经济集中度和根植性，形成一批享誉国内外的区域品牌。对获得国家级、省级质量品牌提升示范区等荣誉称号的项目组织单位，分别予以一次性100万元、50万元奖励。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（十一）擦亮时代性“深圳品牌”。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支持企业适应个性化、差异化、品质化消费需求，创造特色自主品牌，突出技术、质量、服务、文化、体验等内涵特质，强化品牌运营，持续提高品牌价值含量。支持品牌企业参与国际国内知名品牌评价活动，提升自身品牌影响力、知名度、美誉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。对依据品牌价值评价等国际标准、国家标准开展评估，达到规定条件的，予以一次性50万元资助。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Lines="0" w:beforeAutospacing="0" w:afterLines="0" w:afterAutospacing="0"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eastAsia" w:ascii="黑体" w:hAnsi="黑体" w:eastAsia="黑体" w:cs="Times New Roman"/>
          <w:color w:val="auto"/>
          <w:kern w:val="2"/>
          <w:sz w:val="32"/>
          <w:szCs w:val="24"/>
          <w:lang w:val="en-US" w:eastAsia="zh-CN" w:bidi="ar-SA"/>
        </w:rPr>
        <w:t>四、其他事项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十二）本措施涉及支持项目具体条件，以配套文件及当年发布的申报指南为准。涉及支持限额均为上限，实际支持比例和金额受年度资金预算总量控制。本措施规定的支持政策与深圳市其他支持政策不得重复享受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（十三）本措施由市市场监管部门负责解释。因质量品牌建设事业发展变化需要补充或取消扶持措施的，报市政府批准后执行。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（十四）本措施自    年  月  日起实施，有效期5年。</w:t>
      </w: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588" w:right="1474" w:bottom="1588" w:left="1474" w:header="851" w:footer="992" w:gutter="0"/>
      <w:cols w:space="720" w:num="1"/>
      <w:titlePg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outside" w:y="1"/>
      <w:rPr>
        <w:rStyle w:val="12"/>
        <w:rFonts w:hint="eastAsia"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t xml:space="preserve">- </w:t>
    </w:r>
    <w:r>
      <w:rPr>
        <w:rFonts w:hint="eastAsia" w:ascii="仿宋_GB2312" w:eastAsia="仿宋_GB2312"/>
        <w:sz w:val="28"/>
        <w:szCs w:val="28"/>
      </w:rPr>
      <w:fldChar w:fldCharType="begin"/>
    </w:r>
    <w:r>
      <w:rPr>
        <w:rFonts w:hint="eastAsia" w:ascii="仿宋_GB2312" w:eastAsia="仿宋_GB2312"/>
        <w:sz w:val="28"/>
        <w:szCs w:val="28"/>
      </w:rPr>
      <w:instrText xml:space="preserve"> PAGE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</w:rPr>
      <w:t>20</w:t>
    </w:r>
    <w:r>
      <w:rPr>
        <w:rFonts w:hint="eastAsia" w:ascii="仿宋_GB2312" w:eastAsia="仿宋_GB2312"/>
        <w:sz w:val="28"/>
        <w:szCs w:val="28"/>
      </w:rPr>
      <w:fldChar w:fldCharType="end"/>
    </w:r>
    <w:r>
      <w:rPr>
        <w:rFonts w:hint="eastAsia" w:ascii="仿宋_GB2312" w:eastAsia="仿宋_GB2312"/>
        <w:sz w:val="28"/>
        <w:szCs w:val="28"/>
      </w:rPr>
      <w:t xml:space="preserve"> -</w:t>
    </w:r>
  </w:p>
  <w:p>
    <w:pPr>
      <w:pStyle w:val="8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outside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end"/>
    </w:r>
  </w:p>
  <w:p>
    <w:pPr>
      <w:pStyle w:val="8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8E32F8"/>
    <w:rsid w:val="018F39CF"/>
    <w:rsid w:val="03132B9D"/>
    <w:rsid w:val="05951B82"/>
    <w:rsid w:val="074E1421"/>
    <w:rsid w:val="074F7085"/>
    <w:rsid w:val="0AB72865"/>
    <w:rsid w:val="0B494678"/>
    <w:rsid w:val="0E3B62F2"/>
    <w:rsid w:val="13351448"/>
    <w:rsid w:val="14A03A4B"/>
    <w:rsid w:val="20405C01"/>
    <w:rsid w:val="25416862"/>
    <w:rsid w:val="284808EB"/>
    <w:rsid w:val="28954398"/>
    <w:rsid w:val="29C87FFC"/>
    <w:rsid w:val="2C66781A"/>
    <w:rsid w:val="2EAB0B12"/>
    <w:rsid w:val="312B373B"/>
    <w:rsid w:val="34D73816"/>
    <w:rsid w:val="357D2349"/>
    <w:rsid w:val="380959A6"/>
    <w:rsid w:val="38D6398F"/>
    <w:rsid w:val="3B6DE1F5"/>
    <w:rsid w:val="3FA3417B"/>
    <w:rsid w:val="41FA07E2"/>
    <w:rsid w:val="43712255"/>
    <w:rsid w:val="443E29FF"/>
    <w:rsid w:val="506C476F"/>
    <w:rsid w:val="52403747"/>
    <w:rsid w:val="55AE693E"/>
    <w:rsid w:val="5DE8183D"/>
    <w:rsid w:val="5E463603"/>
    <w:rsid w:val="62DA3554"/>
    <w:rsid w:val="66D13AC7"/>
    <w:rsid w:val="70B704B7"/>
    <w:rsid w:val="73B534B5"/>
    <w:rsid w:val="75C05533"/>
    <w:rsid w:val="790B5EF5"/>
    <w:rsid w:val="791448B7"/>
    <w:rsid w:val="792B6169"/>
    <w:rsid w:val="79B91945"/>
    <w:rsid w:val="7B7D622C"/>
    <w:rsid w:val="7BF54FDC"/>
    <w:rsid w:val="7CFF11C8"/>
    <w:rsid w:val="AFDE1691"/>
    <w:rsid w:val="BDC56464"/>
    <w:rsid w:val="BEDFCD09"/>
    <w:rsid w:val="CCDBA034"/>
    <w:rsid w:val="CFEE1F98"/>
    <w:rsid w:val="D7F75811"/>
    <w:rsid w:val="DDFF1161"/>
    <w:rsid w:val="DFEF28CF"/>
    <w:rsid w:val="DFF742F4"/>
    <w:rsid w:val="E7DF7CEA"/>
    <w:rsid w:val="F3EF14BE"/>
    <w:rsid w:val="FCDD76EC"/>
    <w:rsid w:val="FDDF69E5"/>
    <w:rsid w:val="FDFF1EBB"/>
    <w:rsid w:val="FFBD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link w:val="16"/>
    <w:qFormat/>
    <w:uiPriority w:val="0"/>
    <w:pPr>
      <w:keepNext/>
      <w:keepLines/>
      <w:spacing w:line="560" w:lineRule="exact"/>
      <w:ind w:firstLine="0" w:firstLineChars="0"/>
      <w:jc w:val="center"/>
      <w:outlineLvl w:val="0"/>
    </w:pPr>
    <w:rPr>
      <w:rFonts w:ascii="Times New Roman" w:hAnsi="Times New Roman" w:eastAsia="方正小标宋简体"/>
      <w:kern w:val="44"/>
      <w:sz w:val="44"/>
    </w:rPr>
  </w:style>
  <w:style w:type="paragraph" w:styleId="5">
    <w:name w:val="heading 2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420" w:firstLineChars="200"/>
      <w:outlineLvl w:val="1"/>
    </w:pPr>
    <w:rPr>
      <w:rFonts w:ascii="黑体" w:hAnsi="黑体" w:eastAsia="黑体"/>
      <w:sz w:val="32"/>
    </w:rPr>
  </w:style>
  <w:style w:type="paragraph" w:styleId="6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2"/>
    </w:pPr>
    <w:rPr>
      <w:rFonts w:eastAsia="楷体_GB2312"/>
      <w:b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0"/>
    <w:pPr>
      <w:spacing w:after="120"/>
    </w:pPr>
    <w:rPr>
      <w:rFonts w:ascii="Calibri" w:hAnsi="Calibri"/>
    </w:rPr>
  </w:style>
  <w:style w:type="paragraph" w:styleId="3">
    <w:name w:val="Title"/>
    <w:basedOn w:val="1"/>
    <w:next w:val="1"/>
    <w:qFormat/>
    <w:uiPriority w:val="0"/>
    <w:pPr>
      <w:jc w:val="center"/>
      <w:outlineLvl w:val="0"/>
    </w:pPr>
    <w:rPr>
      <w:rFonts w:ascii="Arial" w:hAnsi="Arial"/>
      <w:b/>
      <w:sz w:val="32"/>
    </w:r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宋体" w:hAnsi="宋体" w:eastAsia="宋体" w:cstheme="minorBidi"/>
      <w:sz w:val="28"/>
      <w:szCs w:val="18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styleId="13">
    <w:name w:val="Emphasis"/>
    <w:basedOn w:val="10"/>
    <w:qFormat/>
    <w:uiPriority w:val="0"/>
    <w:rPr>
      <w:i/>
    </w:rPr>
  </w:style>
  <w:style w:type="character" w:customStyle="1" w:styleId="14">
    <w:name w:val="页脚 字符"/>
    <w:basedOn w:val="10"/>
    <w:link w:val="8"/>
    <w:qFormat/>
    <w:uiPriority w:val="99"/>
    <w:rPr>
      <w:rFonts w:ascii="宋体" w:hAnsi="宋体" w:eastAsia="宋体"/>
      <w:sz w:val="28"/>
      <w:szCs w:val="18"/>
    </w:rPr>
  </w:style>
  <w:style w:type="paragraph" w:customStyle="1" w:styleId="15">
    <w:name w:val="样式1"/>
    <w:basedOn w:val="1"/>
    <w:next w:val="1"/>
    <w:qFormat/>
    <w:uiPriority w:val="0"/>
    <w:pPr>
      <w:ind w:firstLine="880"/>
    </w:pPr>
    <w:rPr>
      <w:rFonts w:eastAsia="楷体_GB2312"/>
      <w:i/>
      <w:color w:val="7F7F7F" w:themeColor="background1" w:themeShade="80"/>
    </w:rPr>
  </w:style>
  <w:style w:type="character" w:customStyle="1" w:styleId="16">
    <w:name w:val="标题 1 Char"/>
    <w:basedOn w:val="10"/>
    <w:link w:val="4"/>
    <w:qFormat/>
    <w:uiPriority w:val="9"/>
    <w:rPr>
      <w:rFonts w:ascii="Times New Roman" w:hAnsi="Times New Roman" w:eastAsia="方正小标宋简体"/>
      <w:kern w:val="44"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2022-01-23T02:03:00Z</dcterms:created>
  <dc:creator>One</dc:creator>
  <cp:lastModifiedBy>李臻</cp:lastModifiedBy>
  <cp:lastPrinted>2022-02-21T01:03:00Z</cp:lastPrinted>
  <dcterms:modified xsi:type="dcterms:W3CDTF">2022-03-30T02:28:28Z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7C27C463517248FAA62EA6C398243C30</vt:lpwstr>
  </property>
</Properties>
</file>