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560" w:lineRule="exact"/>
        <w:ind w:firstLine="566" w:firstLineChars="177"/>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起草说明</w:t>
      </w:r>
    </w:p>
    <w:p>
      <w:pPr>
        <w:keepNext w:val="0"/>
        <w:keepLines w:val="0"/>
        <w:pageBreakBefore w:val="0"/>
        <w:widowControl w:val="0"/>
        <w:kinsoku/>
        <w:wordWrap/>
        <w:overflowPunct/>
        <w:topLinePunct w:val="0"/>
        <w:autoSpaceDE/>
        <w:autoSpaceDN/>
        <w:bidi w:val="0"/>
        <w:adjustRightInd/>
        <w:snapToGrid/>
        <w:spacing w:line="560" w:lineRule="exact"/>
        <w:ind w:firstLine="566" w:firstLineChars="177"/>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为贯彻落实党中央、国务院“推动质量变革”“建设质量强国”的战略部署，突出以质量基础设施支撑产业升级，以质量技术创新驱动质量变革，提升基于质量效益的制造业竞争力，我局</w:t>
      </w:r>
      <w:r>
        <w:rPr>
          <w:rFonts w:hint="eastAsia" w:ascii="仿宋_GB2312" w:hAnsi="仿宋_GB2312" w:eastAsia="仿宋_GB2312" w:cs="仿宋_GB2312"/>
          <w:sz w:val="32"/>
          <w:szCs w:val="32"/>
          <w:lang w:eastAsia="zh-CN"/>
        </w:rPr>
        <w:t>根据当前形势任务需要，</w:t>
      </w:r>
      <w:r>
        <w:rPr>
          <w:rFonts w:hint="eastAsia" w:ascii="仿宋_GB2312" w:hAnsi="仿宋_GB2312" w:eastAsia="仿宋_GB2312" w:cs="仿宋_GB2312"/>
          <w:sz w:val="32"/>
          <w:szCs w:val="32"/>
        </w:rPr>
        <w:t>围绕全市“十四五”规划目标任务和市委市政府重点工作部署，结合质量强国标杆城市建设突破方向，在深入调研，反复论证的基础上，起草了</w:t>
      </w:r>
      <w:r>
        <w:rPr>
          <w:rFonts w:hint="eastAsia" w:ascii="仿宋_GB2312" w:hAnsi="仿宋_GB2312" w:eastAsia="仿宋_GB2312" w:cs="仿宋_GB2312"/>
          <w:sz w:val="32"/>
          <w:szCs w:val="32"/>
          <w:lang w:eastAsia="zh-CN"/>
        </w:rPr>
        <w:t>《关于促进质量提升推动品牌升级的若干措施》（以下简称《若干措施》），</w:t>
      </w:r>
      <w:r>
        <w:rPr>
          <w:rFonts w:hint="eastAsia" w:ascii="仿宋_GB2312" w:hAnsi="仿宋_GB2312" w:eastAsia="仿宋_GB2312" w:cs="仿宋_GB2312"/>
          <w:sz w:val="32"/>
          <w:szCs w:val="32"/>
          <w:lang w:val="en-US" w:eastAsia="zh-CN"/>
        </w:rPr>
        <w:t>并配套</w:t>
      </w:r>
      <w:r>
        <w:rPr>
          <w:rFonts w:hint="eastAsia" w:ascii="仿宋_GB2312" w:hAnsi="仿宋_GB2312" w:eastAsia="仿宋_GB2312" w:cs="仿宋_GB2312"/>
          <w:sz w:val="32"/>
          <w:szCs w:val="32"/>
        </w:rPr>
        <w:t>《深圳市市场监督管理局质量品牌领域专项资金操作规程（征求意见稿）》</w:t>
      </w:r>
      <w:r>
        <w:rPr>
          <w:rFonts w:hint="eastAsia" w:ascii="仿宋_GB2312" w:hAnsi="仿宋_GB2312" w:eastAsia="仿宋_GB2312" w:cs="仿宋_GB2312"/>
          <w:sz w:val="32"/>
          <w:szCs w:val="32"/>
          <w:lang w:eastAsia="zh-CN"/>
        </w:rPr>
        <w:t>（以下简称《操作规程》）</w:t>
      </w:r>
      <w:r>
        <w:rPr>
          <w:rFonts w:hint="eastAsia" w:ascii="仿宋_GB2312" w:hAnsi="仿宋_GB2312" w:eastAsia="仿宋_GB2312" w:cs="仿宋_GB2312"/>
          <w:sz w:val="32"/>
          <w:szCs w:val="32"/>
        </w:rPr>
        <w:t>。有关情况如下：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一、起草制定的必要性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 w:hAnsi="楷体" w:eastAsia="楷体" w:cs="楷体"/>
          <w:b/>
          <w:bCs/>
          <w:sz w:val="32"/>
          <w:szCs w:val="32"/>
        </w:rPr>
        <w:t>一是落实国家战略的重要行动</w:t>
      </w:r>
      <w:r>
        <w:rPr>
          <w:rFonts w:hint="eastAsia" w:ascii="仿宋_GB2312" w:hAnsi="仿宋_GB2312" w:eastAsia="仿宋_GB2312" w:cs="仿宋_GB2312"/>
          <w:sz w:val="32"/>
          <w:szCs w:val="32"/>
        </w:rPr>
        <w:t>。党中央、国务院部署实施“质量强国”战略，将质量发展政策纳入地方质量工作考核，并将建立中央质量督查工作机制。王伟中书记在2020年深圳质量大会上明确提出我市要打造质量强国标杆城市，市政府已专门致函市场监管总局请予支持，需加快配套政策支撑体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 w:hAnsi="楷体" w:eastAsia="楷体" w:cs="楷体"/>
          <w:b/>
          <w:bCs/>
          <w:sz w:val="32"/>
          <w:szCs w:val="32"/>
        </w:rPr>
        <w:t>二是更好推动高质量发展的要求。</w:t>
      </w:r>
      <w:r>
        <w:rPr>
          <w:rFonts w:hint="eastAsia" w:ascii="仿宋_GB2312" w:hAnsi="仿宋_GB2312" w:eastAsia="仿宋_GB2312" w:cs="仿宋_GB2312"/>
          <w:sz w:val="32"/>
          <w:szCs w:val="32"/>
        </w:rPr>
        <w:t>“十四五”时期我市将坚持以高质量发展为主题，锚定高效益、高效率、高品质，抢占构建新发展格局先机，加快打造高质量发展高地，为此应紧扣打造一流“深圳质量”，树立响亮“深圳品牌”，显著做强质量基础，争创更多领域质量领先优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 w:hAnsi="楷体" w:eastAsia="楷体" w:cs="楷体"/>
          <w:b/>
          <w:bCs/>
          <w:sz w:val="32"/>
          <w:szCs w:val="32"/>
        </w:rPr>
        <w:t>三是在质量强省建设中发挥带头作用。</w:t>
      </w:r>
      <w:r>
        <w:rPr>
          <w:rFonts w:hint="eastAsia" w:ascii="仿宋_GB2312" w:hAnsi="仿宋_GB2312" w:eastAsia="仿宋_GB2312" w:cs="仿宋_GB2312"/>
          <w:sz w:val="32"/>
          <w:szCs w:val="32"/>
        </w:rPr>
        <w:t>2020年下发的《广东省人民政府印发&lt;关于加快推进质量强省建设的实施方案&gt;的通知》（粤府〔2020〕5号），要求各地加大质量工作投入，鼓励有条件的地区设立质量发展专项资金。目前，我省设有5亿元质量发展资金（包括基金</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.5亿、专项资金</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.5亿），各地市如佛山设8000万专项资金，东莞设1.1亿专项资金等，深圳应主动探索，提供经验。</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w:t>
      </w:r>
      <w:r>
        <w:rPr>
          <w:rFonts w:hint="eastAsia" w:ascii="黑体" w:hAnsi="黑体" w:eastAsia="黑体" w:cs="黑体"/>
          <w:sz w:val="32"/>
          <w:szCs w:val="32"/>
          <w:lang w:val="en-US" w:eastAsia="zh-CN"/>
        </w:rPr>
        <w:t>若干措施</w:t>
      </w:r>
      <w:r>
        <w:rPr>
          <w:rFonts w:hint="eastAsia" w:ascii="黑体" w:hAnsi="黑体" w:eastAsia="黑体" w:cs="黑体"/>
          <w:sz w:val="32"/>
          <w:szCs w:val="32"/>
          <w:lang w:eastAsia="zh-CN"/>
        </w:rPr>
        <w:t>》</w:t>
      </w:r>
      <w:r>
        <w:rPr>
          <w:rFonts w:hint="eastAsia" w:ascii="黑体" w:hAnsi="黑体" w:eastAsia="黑体" w:cs="黑体"/>
          <w:sz w:val="32"/>
          <w:szCs w:val="32"/>
        </w:rPr>
        <w:t>政策依据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具体政策依据如下：</w:t>
      </w:r>
    </w:p>
    <w:p>
      <w:pPr>
        <w:spacing w:line="560" w:lineRule="exact"/>
        <w:ind w:firstLine="640" w:firstLineChars="200"/>
        <w:rPr>
          <w:rFonts w:hint="eastAsia" w:ascii="楷体" w:hAnsi="楷体" w:eastAsia="楷体" w:cs="楷体"/>
          <w:b/>
          <w:bCs/>
          <w:sz w:val="32"/>
          <w:szCs w:val="32"/>
        </w:rPr>
      </w:pPr>
      <w:r>
        <w:rPr>
          <w:rFonts w:hint="eastAsia" w:ascii="楷体" w:hAnsi="楷体" w:eastAsia="楷体" w:cs="楷体"/>
          <w:b/>
          <w:bCs/>
          <w:sz w:val="32"/>
          <w:szCs w:val="32"/>
          <w:lang w:eastAsia="zh-CN"/>
        </w:rPr>
        <w:t>（一）</w:t>
      </w:r>
      <w:r>
        <w:rPr>
          <w:rFonts w:hint="eastAsia" w:ascii="楷体" w:hAnsi="楷体" w:eastAsia="楷体" w:cs="楷体"/>
          <w:b/>
          <w:bCs/>
          <w:sz w:val="32"/>
          <w:szCs w:val="32"/>
        </w:rPr>
        <w:t>《中华人民共和国国民经济和社会发展第十四个五年规划和2035年远景目标纲要》</w:t>
      </w:r>
    </w:p>
    <w:p>
      <w:pPr>
        <w:spacing w:line="56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第八章第一节：</w:t>
      </w:r>
      <w:r>
        <w:rPr>
          <w:rFonts w:hint="eastAsia" w:ascii="仿宋_GB2312" w:hAnsi="仿宋_GB2312" w:eastAsia="仿宋_GB2312" w:cs="仿宋_GB2312"/>
          <w:sz w:val="32"/>
          <w:szCs w:val="32"/>
        </w:rPr>
        <w:t>实施产业基础再造工程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加大重大产品和关键核心技术攻关力度，加快工程化产业化突破。</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完善国家质量基础设施，建设生产应用示范平台和标准计量、认证认可、检验检测、试验验证等产业技术基础公共服务平台。</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第八章</w:t>
      </w:r>
      <w:r>
        <w:rPr>
          <w:rFonts w:hint="eastAsia" w:ascii="仿宋_GB2312" w:hAnsi="仿宋_GB2312" w:eastAsia="仿宋_GB2312" w:cs="仿宋_GB2312"/>
          <w:sz w:val="32"/>
          <w:szCs w:val="32"/>
        </w:rPr>
        <w:t>第三节：深入实施质量提升行动，推动制造业产品“增品种、提品质、创品牌”。</w:t>
      </w:r>
    </w:p>
    <w:p>
      <w:pPr>
        <w:spacing w:line="560" w:lineRule="exact"/>
        <w:ind w:firstLine="640" w:firstLineChars="200"/>
        <w:rPr>
          <w:rFonts w:hint="default"/>
        </w:rPr>
      </w:pPr>
      <w:r>
        <w:rPr>
          <w:rFonts w:hint="eastAsia" w:ascii="仿宋_GB2312" w:hAnsi="仿宋_GB2312" w:eastAsia="仿宋_GB2312" w:cs="仿宋_GB2312"/>
          <w:sz w:val="32"/>
          <w:szCs w:val="32"/>
        </w:rPr>
        <w:t>第</w:t>
      </w:r>
      <w:r>
        <w:rPr>
          <w:rFonts w:hint="eastAsia" w:ascii="仿宋_GB2312" w:hAnsi="仿宋_GB2312" w:eastAsia="仿宋_GB2312" w:cs="仿宋_GB2312"/>
          <w:sz w:val="32"/>
          <w:szCs w:val="32"/>
          <w:lang w:eastAsia="zh-CN"/>
        </w:rPr>
        <w:t>十二章</w:t>
      </w:r>
      <w:r>
        <w:rPr>
          <w:rFonts w:hint="eastAsia" w:ascii="仿宋_GB2312" w:hAnsi="仿宋_GB2312" w:eastAsia="仿宋_GB2312" w:cs="仿宋_GB2312"/>
          <w:sz w:val="32"/>
          <w:szCs w:val="32"/>
        </w:rPr>
        <w:t>第一节：提高供给适应引领创造新需求能力。开展中国品牌创建行动。提升自主品牌影响力和竞争力。</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第十三章第一节：完善内外贸一体化调控体系，促进内外贸法律法规、监管体制、经营资质、质量标准、检验检疫、认证认可等相衔接，推进同线同标同质。</w:t>
      </w:r>
    </w:p>
    <w:p>
      <w:pPr>
        <w:numPr>
          <w:ilvl w:val="-1"/>
          <w:numId w:val="0"/>
        </w:numPr>
        <w:spacing w:line="560" w:lineRule="exact"/>
        <w:ind w:firstLine="640" w:firstLineChars="200"/>
        <w:rPr>
          <w:rFonts w:hint="eastAsia" w:ascii="楷体" w:hAnsi="楷体" w:eastAsia="楷体" w:cs="楷体"/>
          <w:b/>
          <w:bCs/>
          <w:sz w:val="32"/>
          <w:szCs w:val="32"/>
          <w:lang w:eastAsia="zh-CN"/>
        </w:rPr>
      </w:pPr>
      <w:r>
        <w:rPr>
          <w:rFonts w:hint="eastAsia" w:ascii="楷体" w:hAnsi="楷体" w:eastAsia="楷体" w:cs="楷体"/>
          <w:b/>
          <w:bCs/>
          <w:sz w:val="32"/>
          <w:szCs w:val="32"/>
          <w:lang w:eastAsia="zh-CN"/>
        </w:rPr>
        <w:t>（二）</w:t>
      </w:r>
      <w:r>
        <w:rPr>
          <w:rFonts w:hint="eastAsia" w:ascii="楷体" w:hAnsi="楷体" w:eastAsia="楷体" w:cs="楷体"/>
          <w:b/>
          <w:bCs/>
          <w:sz w:val="32"/>
          <w:szCs w:val="32"/>
        </w:rPr>
        <w:t>《中共中央 国务院关于开展质量提升行动的指导意见》</w:t>
      </w:r>
      <w:r>
        <w:rPr>
          <w:rFonts w:hint="eastAsia" w:ascii="楷体" w:hAnsi="楷体" w:eastAsia="楷体" w:cs="楷体"/>
          <w:b/>
          <w:bCs/>
          <w:sz w:val="32"/>
          <w:szCs w:val="32"/>
          <w:lang w:eastAsia="zh-CN"/>
        </w:rPr>
        <w:t>（中发〔2017〕24号）</w:t>
      </w:r>
    </w:p>
    <w:p>
      <w:pPr>
        <w:numPr>
          <w:ilvl w:val="0"/>
          <w:numId w:val="0"/>
        </w:numPr>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lang w:eastAsia="zh-CN"/>
        </w:rPr>
        <w:t>第十二条：</w:t>
      </w:r>
      <w:r>
        <w:rPr>
          <w:rFonts w:hint="eastAsia" w:ascii="仿宋_GB2312" w:hAnsi="仿宋_GB2312" w:eastAsia="仿宋_GB2312" w:cs="仿宋_GB2312"/>
          <w:sz w:val="32"/>
          <w:szCs w:val="32"/>
          <w:highlight w:val="none"/>
        </w:rPr>
        <w:t>组织质量比对和会商会诊，找准比较优势、行业通病和质量短板，研究制定质量问题解决方案。加强与国际优质产品的质量比对</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组织质量提升关键技术攻关，推动企业积极应用新技术、新工艺、新材料。加强可靠性设计、试验与验证技术开发应用，推广采用先进成型方法和加工方法、在线检测控制装置、智能化生产和物流系统及检测设备。</w:t>
      </w:r>
    </w:p>
    <w:p>
      <w:pPr>
        <w:numPr>
          <w:ilvl w:val="0"/>
          <w:numId w:val="0"/>
        </w:numPr>
        <w:spacing w:line="56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第十五条：</w:t>
      </w:r>
      <w:r>
        <w:rPr>
          <w:rFonts w:hint="eastAsia" w:ascii="仿宋_GB2312" w:hAnsi="仿宋_GB2312" w:eastAsia="仿宋_GB2312" w:cs="仿宋_GB2312"/>
          <w:sz w:val="32"/>
          <w:szCs w:val="32"/>
        </w:rPr>
        <w:t>推进全面质量管理。</w:t>
      </w:r>
      <w:r>
        <w:rPr>
          <w:rFonts w:hint="eastAsia" w:ascii="仿宋_GB2312" w:hAnsi="仿宋_GB2312" w:eastAsia="仿宋_GB2312" w:cs="仿宋_GB2312"/>
          <w:sz w:val="32"/>
          <w:szCs w:val="32"/>
          <w:highlight w:val="none"/>
        </w:rPr>
        <w:t>发挥质量标杆企业示范引领作用，加强全员、全方位、全过程质量管理，提质降本增效。</w:t>
      </w:r>
    </w:p>
    <w:p>
      <w:pPr>
        <w:numPr>
          <w:ilvl w:val="0"/>
          <w:numId w:val="0"/>
        </w:num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第十九条：加快国家质量基础设施体系建设。构建国家现代先进测量体系。</w:t>
      </w:r>
    </w:p>
    <w:p>
      <w:pPr>
        <w:numPr>
          <w:ilvl w:val="0"/>
          <w:numId w:val="0"/>
        </w:num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w:t>
      </w:r>
      <w:r>
        <w:rPr>
          <w:rFonts w:hint="eastAsia" w:ascii="仿宋_GB2312" w:hAnsi="仿宋_GB2312" w:eastAsia="仿宋_GB2312" w:cs="仿宋_GB2312"/>
          <w:sz w:val="32"/>
          <w:szCs w:val="32"/>
          <w:lang w:eastAsia="zh-CN"/>
        </w:rPr>
        <w:t>条</w:t>
      </w:r>
      <w:r>
        <w:rPr>
          <w:rFonts w:hint="eastAsia" w:ascii="仿宋_GB2312" w:hAnsi="仿宋_GB2312" w:eastAsia="仿宋_GB2312" w:cs="仿宋_GB2312"/>
          <w:sz w:val="32"/>
          <w:szCs w:val="32"/>
        </w:rPr>
        <w:t>：开展国家质量基础设施协同服务及应用示范基地建设，助推中小企业和产业集聚区全面加强质量提升。</w:t>
      </w:r>
    </w:p>
    <w:p>
      <w:pPr>
        <w:numPr>
          <w:ilvl w:val="0"/>
          <w:numId w:val="0"/>
        </w:num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第二十四条：完善质量发展经费多元筹集和保障机制，鼓励和引导更多资金投向质量攻关、质量创新、质量治理、质量基础设施建设。</w:t>
      </w:r>
    </w:p>
    <w:p>
      <w:pPr>
        <w:numPr>
          <w:ilvl w:val="0"/>
          <w:numId w:val="0"/>
        </w:num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第二十六条：健全质量激励制度。树立质量标杆，弘扬质量先进</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建立政府质量奖获奖企业和个人先进质量管理经验的长效宣传推广机制，形成中国特色质量管理模式和体系。</w:t>
      </w:r>
    </w:p>
    <w:p>
      <w:pPr>
        <w:numPr>
          <w:ilvl w:val="0"/>
          <w:numId w:val="0"/>
        </w:numPr>
        <w:spacing w:line="560" w:lineRule="exact"/>
        <w:ind w:firstLine="640" w:firstLineChars="200"/>
        <w:rPr>
          <w:rFonts w:hint="eastAsia" w:ascii="楷体" w:hAnsi="楷体" w:eastAsia="楷体" w:cs="楷体"/>
          <w:b/>
          <w:bCs/>
          <w:sz w:val="32"/>
          <w:szCs w:val="32"/>
          <w:lang w:eastAsia="zh-CN"/>
        </w:rPr>
      </w:pPr>
      <w:r>
        <w:rPr>
          <w:rFonts w:hint="eastAsia" w:ascii="楷体" w:hAnsi="楷体" w:eastAsia="楷体" w:cs="楷体"/>
          <w:b/>
          <w:bCs/>
          <w:sz w:val="32"/>
          <w:szCs w:val="32"/>
          <w:lang w:eastAsia="zh-CN"/>
        </w:rPr>
        <w:t>（三）</w:t>
      </w:r>
      <w:r>
        <w:rPr>
          <w:rFonts w:hint="eastAsia" w:ascii="楷体" w:hAnsi="楷体" w:eastAsia="楷体" w:cs="楷体"/>
          <w:b/>
          <w:bCs/>
          <w:sz w:val="32"/>
          <w:szCs w:val="32"/>
        </w:rPr>
        <w:t>《国务院关于加快建立健全绿色低碳循环发展经济体系的指导意见》</w:t>
      </w:r>
      <w:r>
        <w:rPr>
          <w:rFonts w:hint="eastAsia" w:ascii="楷体" w:hAnsi="楷体" w:eastAsia="楷体" w:cs="楷体"/>
          <w:b/>
          <w:bCs/>
          <w:sz w:val="32"/>
          <w:szCs w:val="32"/>
          <w:lang w:eastAsia="zh-CN"/>
        </w:rPr>
        <w:t>（国发〔2021〕4号）</w:t>
      </w:r>
    </w:p>
    <w:p>
      <w:pPr>
        <w:numPr>
          <w:ilvl w:val="0"/>
          <w:numId w:val="0"/>
        </w:numPr>
        <w:spacing w:line="560" w:lineRule="exact"/>
        <w:ind w:firstLine="640" w:firstLineChars="200"/>
        <w:rPr>
          <w:rFonts w:hint="default"/>
        </w:rPr>
      </w:pPr>
      <w:r>
        <w:rPr>
          <w:rFonts w:hint="eastAsia" w:ascii="仿宋_GB2312" w:hAnsi="仿宋_GB2312" w:eastAsia="仿宋_GB2312" w:cs="仿宋_GB2312"/>
          <w:sz w:val="32"/>
          <w:szCs w:val="32"/>
          <w:lang w:eastAsia="zh-CN"/>
        </w:rPr>
        <w:t>第</w:t>
      </w:r>
      <w:r>
        <w:rPr>
          <w:rFonts w:hint="eastAsia" w:ascii="仿宋_GB2312" w:hAnsi="仿宋_GB2312" w:eastAsia="仿宋_GB2312" w:cs="仿宋_GB2312"/>
          <w:sz w:val="32"/>
          <w:szCs w:val="32"/>
        </w:rPr>
        <w:t>二十五</w:t>
      </w:r>
      <w:r>
        <w:rPr>
          <w:rFonts w:hint="eastAsia" w:ascii="仿宋_GB2312" w:hAnsi="仿宋_GB2312" w:eastAsia="仿宋_GB2312" w:cs="仿宋_GB2312"/>
          <w:sz w:val="32"/>
          <w:szCs w:val="32"/>
          <w:lang w:eastAsia="zh-CN"/>
        </w:rPr>
        <w:t>条</w:t>
      </w:r>
      <w:r>
        <w:rPr>
          <w:rFonts w:hint="eastAsia" w:ascii="仿宋_GB2312" w:hAnsi="仿宋_GB2312" w:eastAsia="仿宋_GB2312" w:cs="仿宋_GB2312"/>
          <w:sz w:val="32"/>
          <w:szCs w:val="32"/>
        </w:rPr>
        <w:t>：加快绿色产品认证制度建设，培育一批专业绿色认证机构。</w:t>
      </w:r>
    </w:p>
    <w:p>
      <w:pPr>
        <w:spacing w:line="560" w:lineRule="exact"/>
        <w:ind w:firstLine="640" w:firstLineChars="200"/>
        <w:rPr>
          <w:rFonts w:hint="eastAsia" w:ascii="楷体" w:hAnsi="楷体" w:eastAsia="楷体" w:cs="楷体"/>
          <w:b/>
          <w:bCs/>
          <w:sz w:val="32"/>
          <w:szCs w:val="32"/>
        </w:rPr>
      </w:pPr>
      <w:r>
        <w:rPr>
          <w:rFonts w:hint="eastAsia" w:ascii="楷体" w:hAnsi="楷体" w:eastAsia="楷体" w:cs="楷体"/>
          <w:b/>
          <w:bCs/>
          <w:sz w:val="32"/>
          <w:szCs w:val="32"/>
          <w:lang w:eastAsia="zh-CN"/>
        </w:rPr>
        <w:t>（四）</w:t>
      </w:r>
      <w:r>
        <w:rPr>
          <w:rFonts w:hint="eastAsia" w:ascii="楷体" w:hAnsi="楷体" w:eastAsia="楷体" w:cs="楷体"/>
          <w:b/>
          <w:bCs/>
          <w:sz w:val="32"/>
          <w:szCs w:val="32"/>
        </w:rPr>
        <w:t>《深圳市国民经济和社会发展第十四个五年规划和2035年远景目标纲要》</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第四章第一节</w:t>
      </w:r>
      <w:r>
        <w:rPr>
          <w:rFonts w:hint="eastAsia" w:ascii="仿宋_GB2312" w:hAnsi="仿宋_GB2312" w:eastAsia="仿宋_GB2312" w:cs="仿宋_GB2312"/>
          <w:sz w:val="32"/>
          <w:szCs w:val="32"/>
        </w:rPr>
        <w:t>:打造一流“深圳质量”，构建先进“深圳标准”，，树立响亮“深圳品牌”，以高质量产品、高效率服务、高性能供给创造和引领国内市场需求。支持企业开展自主品牌国际化建设，培育一批世界一流的制造品牌和服务品牌。完善质量基础设施布局，加强标准、计量、专利等体系和能力建设，形成综合性“一站式”服务示范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三</w:t>
      </w:r>
      <w:r>
        <w:rPr>
          <w:rFonts w:hint="eastAsia" w:ascii="黑体" w:hAnsi="黑体" w:eastAsia="黑体" w:cs="黑体"/>
          <w:sz w:val="32"/>
          <w:szCs w:val="32"/>
        </w:rPr>
        <w:t>、</w:t>
      </w:r>
      <w:r>
        <w:rPr>
          <w:rFonts w:hint="eastAsia" w:ascii="黑体" w:hAnsi="黑体" w:eastAsia="黑体" w:cs="黑体"/>
          <w:sz w:val="32"/>
          <w:szCs w:val="32"/>
          <w:lang w:eastAsia="zh-CN"/>
        </w:rPr>
        <w:t>《</w:t>
      </w:r>
      <w:r>
        <w:rPr>
          <w:rFonts w:hint="eastAsia" w:ascii="黑体" w:hAnsi="黑体" w:eastAsia="黑体" w:cs="黑体"/>
          <w:sz w:val="32"/>
          <w:szCs w:val="32"/>
          <w:lang w:val="en-US" w:eastAsia="zh-CN"/>
        </w:rPr>
        <w:t>操作规程</w:t>
      </w:r>
      <w:r>
        <w:rPr>
          <w:rFonts w:hint="eastAsia" w:ascii="黑体" w:hAnsi="黑体" w:eastAsia="黑体" w:cs="黑体"/>
          <w:sz w:val="32"/>
          <w:szCs w:val="32"/>
          <w:lang w:eastAsia="zh-CN"/>
        </w:rPr>
        <w:t>》</w:t>
      </w:r>
      <w:r>
        <w:rPr>
          <w:rFonts w:hint="eastAsia" w:ascii="黑体" w:hAnsi="黑体" w:eastAsia="黑体" w:cs="黑体"/>
          <w:sz w:val="32"/>
          <w:szCs w:val="32"/>
        </w:rPr>
        <w:t>政策依据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具体政策依据如下：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广东省人民政府印发&lt;关于加快推进质量强省建设的实施方案&gt;的通知》（粤府〔2020〕5号）第八章第二十二条：省级设立5亿元的广东省质量提升发展基金……各地加大质量工作投入……鼓励有条件的地区设立质量发展专项资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（二）《深圳市市场监督管理局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深圳市财政局关于印发&lt;深圳市市场监督管理局专项资金管理办法&gt;的通知》(深市监规〔2020〕3号)第三章第八条：1.引导全市相关单位提升质量、打造品牌，为获得中国质量奖和广东省政府质量奖的企业事业单位、社会组织等提供配套奖励资金；2.落实市委市政府在质量品牌领域的重点工作任务和其他按照国家、省上级部门明确要求由地方安排的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宋体" w:cs="Times New Roman"/>
          <w:lang w:eastAsia="zh-CN"/>
        </w:rPr>
      </w:pPr>
      <w:r>
        <w:rPr>
          <w:rFonts w:hint="eastAsia" w:ascii="仿宋_GB2312" w:hAnsi="仿宋_GB2312" w:eastAsia="仿宋_GB2312" w:cs="仿宋_GB2312"/>
          <w:sz w:val="32"/>
          <w:szCs w:val="32"/>
          <w:lang w:eastAsia="zh-CN"/>
        </w:rPr>
        <w:t>本《若干措施》《操作规程》</w:t>
      </w:r>
      <w:r>
        <w:rPr>
          <w:rFonts w:hint="eastAsia" w:ascii="仿宋_GB2312" w:hAnsi="仿宋_GB2312" w:eastAsia="仿宋_GB2312" w:cs="仿宋_GB2312"/>
          <w:sz w:val="32"/>
          <w:szCs w:val="32"/>
          <w:lang w:val="en-US" w:eastAsia="zh-CN"/>
        </w:rPr>
        <w:t>根据上级工作部署和实际需要，对质量品牌领域专项资金进行扩容增项，资助方向和重点有所调整。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四</w:t>
      </w:r>
      <w:r>
        <w:rPr>
          <w:rFonts w:hint="eastAsia" w:ascii="黑体" w:hAnsi="黑体" w:eastAsia="黑体" w:cs="黑体"/>
          <w:sz w:val="32"/>
          <w:szCs w:val="32"/>
        </w:rPr>
        <w:t>、章节与主要内容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（一）《若干措施》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本《</w:t>
      </w:r>
      <w:r>
        <w:rPr>
          <w:rFonts w:hint="eastAsia" w:ascii="仿宋_GB2312" w:hAnsi="仿宋_GB2312" w:eastAsia="仿宋_GB2312" w:cs="仿宋_GB2312"/>
          <w:sz w:val="32"/>
          <w:szCs w:val="32"/>
          <w:lang w:eastAsia="zh-CN"/>
        </w:rPr>
        <w:t>若干措施</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衔接《</w:t>
      </w:r>
      <w:r>
        <w:rPr>
          <w:rFonts w:hint="eastAsia" w:ascii="仿宋_GB2312" w:hAnsi="仿宋_GB2312" w:eastAsia="仿宋_GB2312" w:cs="仿宋_GB2312"/>
          <w:sz w:val="32"/>
          <w:szCs w:val="32"/>
        </w:rPr>
        <w:t>中共深圳市委</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深圳市人民政府印发</w:t>
      </w:r>
      <w:r>
        <w:rPr>
          <w:rFonts w:hint="eastAsia" w:ascii="仿宋_GB2312" w:hAnsi="仿宋_GB2312" w:eastAsia="仿宋_GB2312" w:cs="仿宋_GB2312"/>
          <w:sz w:val="32"/>
          <w:szCs w:val="32"/>
          <w:lang w:val="en-US" w:eastAsia="zh-CN"/>
        </w:rPr>
        <w:t>&lt;</w:t>
      </w:r>
      <w:r>
        <w:rPr>
          <w:rFonts w:hint="eastAsia" w:ascii="仿宋_GB2312" w:hAnsi="仿宋_GB2312" w:eastAsia="仿宋_GB2312" w:cs="仿宋_GB2312"/>
          <w:sz w:val="32"/>
          <w:szCs w:val="32"/>
        </w:rPr>
        <w:t>关于开展质量标准提升推动高质量发展的实施方案（2019-2022年）</w:t>
      </w:r>
      <w:r>
        <w:rPr>
          <w:rFonts w:hint="eastAsia" w:ascii="仿宋_GB2312" w:hAnsi="仿宋_GB2312" w:eastAsia="仿宋_GB2312" w:cs="仿宋_GB2312"/>
          <w:sz w:val="32"/>
          <w:szCs w:val="32"/>
          <w:lang w:val="en-US" w:eastAsia="zh-CN"/>
        </w:rPr>
        <w:t>&gt;</w:t>
      </w:r>
      <w:r>
        <w:rPr>
          <w:rFonts w:hint="eastAsia" w:ascii="仿宋_GB2312" w:hAnsi="仿宋_GB2312" w:eastAsia="仿宋_GB2312" w:cs="仿宋_GB2312"/>
          <w:sz w:val="32"/>
          <w:szCs w:val="32"/>
        </w:rPr>
        <w:t>的通知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精神，旨在承上启下接续推进质量强市建设，为承接和贯彻落实即将出台的《质量强国建设纲要》打下基础。文件紧扣打造提升“深圳质量、深圳品牌”，锚定高效益、高效率、高品质，突出以质量品牌为重点，综合运用行政、经济、技术等手段，引导帮扶我市企业、产业提品质创品牌增效益，努力促进供需高效匹配协同升级，为推动高质量发展、开创新发展格局提供有力支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全文</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eastAsia="zh-CN"/>
        </w:rPr>
        <w:t>四部分</w:t>
      </w:r>
      <w:r>
        <w:rPr>
          <w:rFonts w:hint="eastAsia" w:ascii="仿宋_GB2312" w:hAnsi="仿宋_GB2312" w:eastAsia="仿宋_GB2312" w:cs="仿宋_GB2312"/>
          <w:sz w:val="32"/>
          <w:szCs w:val="32"/>
        </w:rPr>
        <w:t>、计</w:t>
      </w: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val="en-US" w:eastAsia="zh-CN"/>
        </w:rPr>
        <w:t>主要包括3个方面11条政策举措，以及政策说明。</w:t>
      </w:r>
      <w:r>
        <w:rPr>
          <w:rFonts w:hint="eastAsia" w:ascii="仿宋_GB2312" w:hAnsi="仿宋_GB2312" w:eastAsia="仿宋_GB2312" w:cs="仿宋_GB2312"/>
          <w:sz w:val="32"/>
          <w:szCs w:val="32"/>
          <w:lang w:eastAsia="zh-CN"/>
        </w:rPr>
        <w:t>主要内容如下：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lang w:eastAsia="zh-CN"/>
        </w:rPr>
        <w:t>优化供给扩大消费，促进产业发展质量和产品服务质量“双提升”。</w:t>
      </w:r>
      <w:r>
        <w:rPr>
          <w:rFonts w:hint="eastAsia" w:ascii="仿宋_GB2312" w:hAnsi="仿宋_GB2312" w:eastAsia="仿宋_GB2312" w:cs="仿宋_GB2312"/>
          <w:sz w:val="32"/>
          <w:szCs w:val="32"/>
          <w:lang w:eastAsia="zh-CN"/>
        </w:rPr>
        <w:t>本部分共提出</w:t>
      </w:r>
      <w:r>
        <w:rPr>
          <w:rFonts w:hint="eastAsia" w:ascii="仿宋_GB2312" w:hAnsi="仿宋_GB2312" w:eastAsia="仿宋_GB2312" w:cs="仿宋_GB2312"/>
          <w:sz w:val="32"/>
          <w:szCs w:val="32"/>
          <w:lang w:val="en-US" w:eastAsia="zh-CN"/>
        </w:rPr>
        <w:t>4条内容，主要从推进产业链质量提升</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sz w:val="32"/>
          <w:szCs w:val="32"/>
          <w:lang w:val="en-US" w:eastAsia="zh-CN"/>
        </w:rPr>
        <w:t>提升企业优质供给能力、以新供给适应引领新需求、营造可信任消费环境等4个方面提出措施，旨在通过质量技术创新、管理方法革新、高端品质认证、强化质量监管等，带动产业质量水平和生产效率提升，推动企业产品、服务升级，营造良好消费环境。</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2.释放质量基础设施效能，实现质量技术基础和公共服务能力“双增强”。</w:t>
      </w:r>
      <w:r>
        <w:rPr>
          <w:rFonts w:hint="eastAsia" w:ascii="仿宋_GB2312" w:hAnsi="仿宋_GB2312" w:eastAsia="仿宋_GB2312" w:cs="仿宋_GB2312"/>
          <w:kern w:val="2"/>
          <w:sz w:val="32"/>
          <w:szCs w:val="32"/>
          <w:lang w:val="en-US" w:eastAsia="zh-CN" w:bidi="ar-SA"/>
        </w:rPr>
        <w:t>本部分共提出3条内容，主要从布局重大质量基础设施</w:t>
      </w:r>
      <w:r>
        <w:rPr>
          <w:rFonts w:hint="eastAsia" w:ascii="仿宋_GB2312" w:hAnsi="仿宋_GB2312" w:eastAsia="仿宋_GB2312" w:cs="仿宋_GB2312"/>
          <w:color w:val="auto"/>
          <w:kern w:val="2"/>
          <w:sz w:val="32"/>
          <w:szCs w:val="32"/>
          <w:lang w:val="en-US" w:eastAsia="zh-CN" w:bidi="ar-SA"/>
        </w:rPr>
        <w:t>、夯实产业升级技术基础</w:t>
      </w:r>
      <w:r>
        <w:rPr>
          <w:rFonts w:hint="eastAsia" w:ascii="仿宋_GB2312" w:hAnsi="仿宋_GB2312" w:eastAsia="仿宋_GB2312" w:cs="仿宋_GB2312"/>
          <w:kern w:val="2"/>
          <w:sz w:val="32"/>
          <w:szCs w:val="32"/>
          <w:lang w:val="en-US" w:eastAsia="zh-CN" w:bidi="ar-SA"/>
        </w:rPr>
        <w:t>、建设协同服务体系等3个方面提出措施，旨在加强质量技术设施建设与应用，服务产业发展，</w:t>
      </w:r>
      <w:r>
        <w:rPr>
          <w:rFonts w:hint="eastAsia" w:ascii="仿宋_GB2312" w:hAnsi="仿宋_GB2312" w:eastAsia="仿宋_GB2312" w:cs="仿宋_GB2312"/>
          <w:color w:val="auto"/>
          <w:kern w:val="2"/>
          <w:sz w:val="32"/>
          <w:szCs w:val="32"/>
          <w:lang w:val="en-US" w:eastAsia="zh-CN" w:bidi="ar-SA"/>
        </w:rPr>
        <w:t>促进要素资源流通，增强企业竞争力。</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3.培树质量品牌领航企业，推动卓越级质量和高价值品牌“双示范”。</w:t>
      </w:r>
      <w:r>
        <w:rPr>
          <w:rFonts w:hint="eastAsia" w:ascii="仿宋_GB2312" w:hAnsi="仿宋_GB2312" w:eastAsia="仿宋_GB2312" w:cs="仿宋_GB2312"/>
          <w:kern w:val="2"/>
          <w:sz w:val="32"/>
          <w:szCs w:val="32"/>
          <w:lang w:val="en-US" w:eastAsia="zh-CN" w:bidi="ar-SA"/>
        </w:rPr>
        <w:t>本部分共提出4条内容，主要从树立“深圳质量”新标杆</w:t>
      </w:r>
      <w:r>
        <w:rPr>
          <w:rFonts w:hint="eastAsia" w:ascii="仿宋_GB2312" w:hAnsi="仿宋_GB2312" w:eastAsia="仿宋_GB2312" w:cs="仿宋_GB2312"/>
          <w:color w:val="auto"/>
          <w:kern w:val="2"/>
          <w:sz w:val="32"/>
          <w:szCs w:val="32"/>
          <w:lang w:val="en-US" w:eastAsia="zh-CN" w:bidi="ar-SA"/>
        </w:rPr>
        <w:t>、培育质量型企业梯队</w:t>
      </w:r>
      <w:r>
        <w:rPr>
          <w:rFonts w:hint="eastAsia" w:ascii="仿宋_GB2312" w:hAnsi="仿宋_GB2312" w:eastAsia="仿宋_GB2312" w:cs="仿宋_GB2312"/>
          <w:kern w:val="2"/>
          <w:sz w:val="32"/>
          <w:szCs w:val="32"/>
          <w:lang w:val="en-US" w:eastAsia="zh-CN" w:bidi="ar-SA"/>
        </w:rPr>
        <w:t>、创建区域质量品牌名片等3个方面提出措施，旨在引导我市企业和各类组织积极导入先进质量经营管理模式，加强深圳品牌现代化、国际化发展，打造中国质量品牌新标杆，培育国际竞争合作新优势，抢占构建新发展格局先机。</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eastAsia" w:ascii="Calibri" w:hAnsi="Calibri" w:eastAsia="宋体" w:cs="Times New Roman"/>
          <w:kern w:val="2"/>
          <w:sz w:val="21"/>
          <w:szCs w:val="24"/>
          <w:lang w:val="en-US" w:eastAsia="zh-CN" w:bidi="ar-SA"/>
        </w:rPr>
      </w:pPr>
      <w:r>
        <w:rPr>
          <w:rFonts w:hint="eastAsia" w:ascii="仿宋_GB2312" w:hAnsi="仿宋_GB2312" w:eastAsia="仿宋_GB2312" w:cs="仿宋_GB2312"/>
          <w:b/>
          <w:bCs/>
          <w:kern w:val="2"/>
          <w:sz w:val="32"/>
          <w:szCs w:val="32"/>
          <w:lang w:val="en-US" w:eastAsia="zh-CN" w:bidi="ar-SA"/>
        </w:rPr>
        <w:t>4.其他事项。</w:t>
      </w:r>
      <w:r>
        <w:rPr>
          <w:rFonts w:hint="eastAsia" w:ascii="仿宋_GB2312" w:hAnsi="仿宋_GB2312" w:eastAsia="仿宋_GB2312" w:cs="仿宋_GB2312"/>
          <w:kern w:val="2"/>
          <w:sz w:val="32"/>
          <w:szCs w:val="32"/>
          <w:lang w:val="en-US" w:eastAsia="zh-CN" w:bidi="ar-SA"/>
        </w:rPr>
        <w:t>本部分共提出3条内容，主要对本措施的申报条件、生效日期及有效期等内容作了说明。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（二）《操作规程》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本《操作规程》</w:t>
      </w:r>
      <w:r>
        <w:rPr>
          <w:rFonts w:hint="eastAsia" w:ascii="仿宋_GB2312" w:hAnsi="仿宋_GB2312" w:eastAsia="仿宋_GB2312" w:cs="仿宋_GB2312"/>
          <w:sz w:val="32"/>
          <w:szCs w:val="32"/>
          <w:lang w:val="en-US" w:eastAsia="zh-CN"/>
        </w:rPr>
        <w:t>是《若干措施》的配套支撑文件，是推动有关政策落实的具体扶持政策。主要为供给体系升级、质量基础建设、质量品牌培育3个方向的9个扶持项目。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全文</w:t>
      </w:r>
      <w:r>
        <w:rPr>
          <w:rFonts w:hint="eastAsia" w:ascii="仿宋_GB2312" w:hAnsi="仿宋_GB2312" w:eastAsia="仿宋_GB2312" w:cs="仿宋_GB2312"/>
          <w:sz w:val="32"/>
          <w:szCs w:val="32"/>
        </w:rPr>
        <w:t>共七章、计</w:t>
      </w:r>
      <w:r>
        <w:rPr>
          <w:rFonts w:hint="eastAsia" w:ascii="仿宋_GB2312" w:hAnsi="仿宋_GB2312" w:eastAsia="仿宋_GB2312" w:cs="仿宋_GB2312"/>
          <w:sz w:val="32"/>
          <w:szCs w:val="32"/>
          <w:lang w:val="en-US" w:eastAsia="zh-CN"/>
        </w:rPr>
        <w:t>19</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eastAsia="zh-CN"/>
        </w:rPr>
        <w:t>主要内容如下：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第一章  总则，</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条。对《操作规程》所涉政策依据、适用范围，及其目的意义、实施主体、实施原则、管理模式等事项，作出明确释义和界定。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第二章  职责分工，</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条。明确规定政策实施主体的职责范围及其工作方式。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第三章  扶持方式，</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条。对《操作规程》所涉资助方式作出明确释义和界定。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rPr>
        <w:t xml:space="preserve">第四章  </w:t>
      </w:r>
      <w:r>
        <w:rPr>
          <w:rFonts w:hint="eastAsia" w:ascii="楷体_GB2312" w:hAnsi="楷体_GB2312" w:eastAsia="楷体_GB2312" w:cs="楷体_GB2312"/>
          <w:sz w:val="32"/>
          <w:szCs w:val="32"/>
          <w:lang w:eastAsia="zh-CN"/>
        </w:rPr>
        <w:t>支持方向、条件和标准</w:t>
      </w:r>
      <w:r>
        <w:rPr>
          <w:rFonts w:hint="eastAsia" w:ascii="楷体_GB2312" w:hAnsi="楷体_GB2312" w:eastAsia="楷体_GB2312" w:cs="楷体_GB2312"/>
          <w:sz w:val="32"/>
          <w:szCs w:val="32"/>
        </w:rPr>
        <w:t>，</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eastAsia="zh-CN"/>
        </w:rPr>
        <w:t>明确</w:t>
      </w:r>
      <w:r>
        <w:rPr>
          <w:rFonts w:hint="eastAsia" w:ascii="仿宋_GB2312" w:hAnsi="仿宋_GB2312" w:eastAsia="仿宋_GB2312" w:cs="仿宋_GB2312"/>
          <w:sz w:val="32"/>
          <w:szCs w:val="32"/>
        </w:rPr>
        <w:t>扶持项目的</w:t>
      </w:r>
      <w:r>
        <w:rPr>
          <w:rFonts w:hint="eastAsia" w:ascii="仿宋_GB2312" w:hAnsi="仿宋_GB2312" w:eastAsia="仿宋_GB2312" w:cs="仿宋_GB2312"/>
          <w:sz w:val="32"/>
          <w:szCs w:val="32"/>
          <w:lang w:eastAsia="zh-CN"/>
        </w:rPr>
        <w:t>具体支持范围、条件、标准。具体支持条款及方向如下：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b/>
          <w:bCs/>
          <w:sz w:val="32"/>
          <w:szCs w:val="32"/>
          <w:lang w:eastAsia="zh-CN"/>
        </w:rPr>
      </w:pPr>
      <w:r>
        <w:rPr>
          <w:rFonts w:hint="eastAsia" w:ascii="仿宋_GB2312" w:hAnsi="Calibri" w:eastAsia="仿宋_GB2312" w:cs="Times New Roman"/>
          <w:b/>
          <w:bCs/>
          <w:sz w:val="32"/>
          <w:szCs w:val="32"/>
          <w:lang w:val="en-US" w:eastAsia="zh-CN"/>
        </w:rPr>
        <w:t>培育打造</w:t>
      </w:r>
      <w:r>
        <w:rPr>
          <w:rFonts w:hint="eastAsia" w:ascii="仿宋_GB2312" w:hAnsi="Calibri" w:eastAsia="仿宋_GB2312" w:cs="Times New Roman"/>
          <w:b/>
          <w:bCs/>
          <w:sz w:val="32"/>
          <w:szCs w:val="32"/>
        </w:rPr>
        <w:t>质量品牌标杆</w:t>
      </w:r>
      <w:r>
        <w:rPr>
          <w:rFonts w:hint="eastAsia" w:ascii="仿宋_GB2312" w:hAnsi="Calibri" w:eastAsia="仿宋_GB2312" w:cs="Times New Roman"/>
          <w:b/>
          <w:bCs/>
          <w:sz w:val="32"/>
          <w:szCs w:val="32"/>
          <w:lang w:eastAsia="zh-CN"/>
        </w:rPr>
        <w:t>方向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仿宋_GB2312" w:eastAsia="仿宋_GB2312" w:cs="仿宋_GB2312"/>
          <w:sz w:val="32"/>
          <w:szCs w:val="32"/>
          <w:lang w:val="en-US" w:eastAsia="zh-CN"/>
        </w:rPr>
        <w:t>1.行业质量提升项目（第八条第一款），促进产业链基础再造和质量效益提升，对整合国家质量基础设施（NQI）要素资源为产业提供优质公共技术服务，有效增强产业竞争力的组织，予以300万元资助。2.质量技术攻关与质量创新项目（第八条第二款），鼓励破解关键产品、关键系统</w:t>
      </w:r>
      <w:r>
        <w:rPr>
          <w:rFonts w:hint="eastAsia" w:ascii="仿宋_GB2312" w:hAnsi="仿宋_GB2312" w:eastAsia="仿宋_GB2312" w:cs="仿宋_GB2312"/>
          <w:sz w:val="32"/>
          <w:szCs w:val="32"/>
          <w:highlight w:val="none"/>
        </w:rPr>
        <w:t>质量</w:t>
      </w:r>
      <w:r>
        <w:rPr>
          <w:rFonts w:hint="eastAsia" w:ascii="仿宋_GB2312" w:hAnsi="仿宋_GB2312" w:eastAsia="仿宋_GB2312" w:cs="仿宋_GB2312"/>
          <w:sz w:val="32"/>
          <w:szCs w:val="32"/>
          <w:highlight w:val="none"/>
          <w:lang w:eastAsia="zh-CN"/>
        </w:rPr>
        <w:t>难题</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val="en-US" w:eastAsia="zh-CN"/>
        </w:rPr>
        <w:t>加速创新成果规模化商用，</w:t>
      </w:r>
      <w:r>
        <w:rPr>
          <w:rFonts w:hint="eastAsia" w:ascii="仿宋_GB2312" w:hAnsi="仿宋_GB2312" w:eastAsia="仿宋_GB2312" w:cs="仿宋_GB2312"/>
          <w:sz w:val="32"/>
          <w:szCs w:val="32"/>
          <w:lang w:val="en-US" w:eastAsia="zh-CN"/>
        </w:rPr>
        <w:t>对</w:t>
      </w:r>
      <w:r>
        <w:rPr>
          <w:rFonts w:hint="eastAsia" w:ascii="仿宋_GB2312" w:hAnsi="宋体" w:eastAsia="仿宋_GB2312" w:cs="宋体"/>
          <w:kern w:val="0"/>
          <w:sz w:val="32"/>
          <w:szCs w:val="32"/>
        </w:rPr>
        <w:t>开展关键共性质量技术攻关和质量管理理论与方法创新</w:t>
      </w:r>
      <w:r>
        <w:rPr>
          <w:rFonts w:hint="eastAsia" w:ascii="仿宋_GB2312" w:hAnsi="宋体" w:eastAsia="仿宋_GB2312" w:cs="宋体"/>
          <w:kern w:val="0"/>
          <w:sz w:val="32"/>
          <w:szCs w:val="32"/>
          <w:lang w:eastAsia="zh-CN"/>
        </w:rPr>
        <w:t>的组织，予以</w:t>
      </w:r>
      <w:r>
        <w:rPr>
          <w:rFonts w:hint="eastAsia" w:ascii="仿宋_GB2312" w:hAnsi="宋体" w:eastAsia="仿宋_GB2312" w:cs="宋体"/>
          <w:kern w:val="0"/>
          <w:sz w:val="32"/>
          <w:szCs w:val="32"/>
          <w:lang w:val="en-US" w:eastAsia="zh-CN"/>
        </w:rPr>
        <w:t>30万元资助。3.绿色认证等高端认证发展项目</w:t>
      </w:r>
      <w:r>
        <w:rPr>
          <w:rFonts w:hint="eastAsia" w:ascii="仿宋_GB2312" w:hAnsi="仿宋_GB2312" w:eastAsia="仿宋_GB2312" w:cs="仿宋_GB2312"/>
          <w:sz w:val="32"/>
          <w:szCs w:val="32"/>
          <w:lang w:val="en-US" w:eastAsia="zh-CN"/>
        </w:rPr>
        <w:t>（第八条第三款），促进产业绿色转型升级，对取得</w:t>
      </w:r>
      <w:r>
        <w:rPr>
          <w:rFonts w:hint="eastAsia" w:ascii="仿宋_GB2312" w:hAnsi="Calibri" w:eastAsia="仿宋_GB2312" w:cs="Times New Roman"/>
          <w:sz w:val="32"/>
          <w:szCs w:val="32"/>
        </w:rPr>
        <w:t>绿色产品</w:t>
      </w:r>
      <w:r>
        <w:rPr>
          <w:rFonts w:hint="eastAsia" w:ascii="仿宋_GB2312" w:hAnsi="Calibri" w:eastAsia="仿宋_GB2312" w:cs="Times New Roman"/>
          <w:sz w:val="32"/>
          <w:szCs w:val="32"/>
          <w:lang w:eastAsia="zh-CN"/>
        </w:rPr>
        <w:t>等高端</w:t>
      </w:r>
      <w:r>
        <w:rPr>
          <w:rFonts w:hint="eastAsia" w:ascii="仿宋_GB2312" w:hAnsi="Calibri" w:eastAsia="仿宋_GB2312" w:cs="Times New Roman"/>
          <w:sz w:val="32"/>
          <w:szCs w:val="32"/>
        </w:rPr>
        <w:t>认证</w:t>
      </w:r>
      <w:r>
        <w:rPr>
          <w:rFonts w:hint="eastAsia" w:ascii="仿宋_GB2312" w:hAnsi="Calibri" w:eastAsia="仿宋_GB2312" w:cs="Times New Roman"/>
          <w:sz w:val="32"/>
          <w:szCs w:val="32"/>
          <w:lang w:eastAsia="zh-CN"/>
        </w:rPr>
        <w:t>的企业，每获一张认证证书，予以不超过</w:t>
      </w:r>
      <w:r>
        <w:rPr>
          <w:rFonts w:hint="eastAsia" w:ascii="仿宋_GB2312" w:hAnsi="Calibri" w:eastAsia="仿宋_GB2312" w:cs="Times New Roman"/>
          <w:sz w:val="32"/>
          <w:szCs w:val="32"/>
          <w:lang w:val="en-US" w:eastAsia="zh-CN"/>
        </w:rPr>
        <w:t>5万元资助，每家企业每年资助不超过3项。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b/>
          <w:bCs/>
          <w:sz w:val="32"/>
          <w:szCs w:val="32"/>
          <w:lang w:eastAsia="zh-CN"/>
        </w:rPr>
      </w:pPr>
      <w:r>
        <w:rPr>
          <w:rFonts w:hint="eastAsia" w:ascii="仿宋_GB2312" w:hAnsi="Calibri" w:eastAsia="仿宋_GB2312" w:cs="Times New Roman"/>
          <w:b/>
          <w:bCs/>
          <w:sz w:val="32"/>
          <w:szCs w:val="32"/>
          <w:lang w:eastAsia="zh-CN"/>
        </w:rPr>
        <w:t>质量基础设施体系和能力建设方向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4.国际认可发展项目（第九条第一款），促进企业国际化发展，</w:t>
      </w:r>
      <w:r>
        <w:rPr>
          <w:rFonts w:hint="eastAsia" w:ascii="仿宋_GB2312" w:hAnsi="仿宋_GB2312" w:eastAsia="仿宋_GB2312" w:cs="仿宋_GB2312"/>
          <w:sz w:val="32"/>
          <w:szCs w:val="32"/>
          <w:lang w:val="en-US" w:eastAsia="zh-CN"/>
        </w:rPr>
        <w:t>对取得国际知名认可机构认可的企业，每获得一个国家或国际机构认可资质，予以不超过30万元资助，每家企业每年资助不超过2项。5.</w:t>
      </w:r>
      <w:r>
        <w:rPr>
          <w:rFonts w:hint="eastAsia" w:ascii="仿宋_GB2312" w:hAnsi="Calibri" w:eastAsia="仿宋_GB2312" w:cs="Times New Roman"/>
          <w:sz w:val="32"/>
          <w:szCs w:val="32"/>
          <w:lang w:val="en-US" w:eastAsia="zh-CN"/>
        </w:rPr>
        <w:t>先进计量支撑体系扶持项目</w:t>
      </w:r>
      <w:r>
        <w:rPr>
          <w:rFonts w:hint="eastAsia" w:ascii="仿宋_GB2312" w:hAnsi="仿宋_GB2312" w:eastAsia="仿宋_GB2312" w:cs="仿宋_GB2312"/>
          <w:sz w:val="32"/>
          <w:szCs w:val="32"/>
          <w:lang w:val="en-US" w:eastAsia="zh-CN"/>
        </w:rPr>
        <w:t>（第九条第二款），推动</w:t>
      </w:r>
      <w:r>
        <w:rPr>
          <w:rFonts w:hint="eastAsia" w:ascii="仿宋_GB2312" w:hAnsi="仿宋_GB2312" w:eastAsia="仿宋_GB2312" w:cs="仿宋_GB2312"/>
          <w:sz w:val="32"/>
          <w:szCs w:val="32"/>
        </w:rPr>
        <w:t>高新技术、食品安全、节能减排等重点领域先进计量测试体系建设</w:t>
      </w:r>
      <w:r>
        <w:rPr>
          <w:rFonts w:hint="eastAsia" w:ascii="仿宋_GB2312" w:hAnsi="仿宋_GB2312" w:eastAsia="仿宋_GB2312" w:cs="仿宋_GB2312"/>
          <w:sz w:val="32"/>
          <w:szCs w:val="32"/>
          <w:lang w:val="en-US" w:eastAsia="zh-CN"/>
        </w:rPr>
        <w:t>，对主导或参加国际、国家、省</w:t>
      </w:r>
      <w:r>
        <w:rPr>
          <w:rFonts w:hint="eastAsia" w:ascii="仿宋_GB2312" w:hAnsi="宋体" w:eastAsia="仿宋_GB2312" w:cs="仿宋_GB2312"/>
          <w:sz w:val="32"/>
          <w:szCs w:val="32"/>
        </w:rPr>
        <w:t>计量检定规程</w:t>
      </w:r>
      <w:r>
        <w:rPr>
          <w:rFonts w:hint="eastAsia" w:ascii="仿宋_GB2312" w:hAnsi="宋体" w:eastAsia="仿宋_GB2312" w:cs="仿宋_GB2312"/>
          <w:sz w:val="32"/>
          <w:szCs w:val="32"/>
          <w:lang w:eastAsia="zh-CN"/>
        </w:rPr>
        <w:t>和</w:t>
      </w:r>
      <w:r>
        <w:rPr>
          <w:rFonts w:hint="eastAsia" w:ascii="仿宋_GB2312" w:hAnsi="宋体" w:eastAsia="仿宋_GB2312" w:cs="仿宋_GB2312"/>
          <w:sz w:val="32"/>
          <w:szCs w:val="32"/>
        </w:rPr>
        <w:t>技术规范制定</w:t>
      </w:r>
      <w:r>
        <w:rPr>
          <w:rFonts w:hint="eastAsia" w:ascii="仿宋_GB2312" w:hAnsi="宋体" w:eastAsia="仿宋_GB2312" w:cs="仿宋_GB2312"/>
          <w:sz w:val="32"/>
          <w:szCs w:val="32"/>
          <w:lang w:eastAsia="zh-CN"/>
        </w:rPr>
        <w:t>；承担国际国内计量技术专业机构（TC、SC）工作；获全国能源资源、工业计量等示范和标杆；市级社会公用计量标准证书的组织，</w:t>
      </w:r>
      <w:r>
        <w:rPr>
          <w:rFonts w:hint="eastAsia" w:ascii="仿宋_GB2312" w:hAnsi="Calibri" w:eastAsia="仿宋_GB2312" w:cs="Times New Roman"/>
          <w:sz w:val="32"/>
          <w:szCs w:val="32"/>
          <w:lang w:eastAsia="zh-CN"/>
        </w:rPr>
        <w:t>分别予以</w:t>
      </w:r>
      <w:r>
        <w:rPr>
          <w:rFonts w:hint="eastAsia" w:ascii="仿宋_GB2312" w:hAnsi="宋体" w:eastAsia="仿宋_GB2312" w:cs="仿宋_GB2312"/>
          <w:sz w:val="32"/>
          <w:szCs w:val="32"/>
          <w:lang w:val="en-US" w:eastAsia="zh-CN"/>
        </w:rPr>
        <w:t>3万元</w:t>
      </w:r>
      <w:r>
        <w:rPr>
          <w:rFonts w:hint="eastAsia" w:ascii="仿宋_GB2312" w:hAnsi="宋体" w:eastAsia="仿宋_GB2312" w:cs="仿宋_GB2312"/>
          <w:sz w:val="32"/>
          <w:szCs w:val="32"/>
          <w:lang w:eastAsia="zh-CN"/>
        </w:rPr>
        <w:t>至</w:t>
      </w:r>
      <w:r>
        <w:rPr>
          <w:rFonts w:hint="eastAsia" w:ascii="仿宋_GB2312" w:hAnsi="宋体" w:eastAsia="仿宋_GB2312" w:cs="仿宋_GB2312"/>
          <w:sz w:val="32"/>
          <w:szCs w:val="32"/>
        </w:rPr>
        <w:t>80万元</w:t>
      </w:r>
      <w:r>
        <w:rPr>
          <w:rFonts w:hint="eastAsia" w:ascii="仿宋_GB2312" w:hAnsi="宋体" w:eastAsia="仿宋_GB2312" w:cs="仿宋_GB2312"/>
          <w:sz w:val="32"/>
          <w:szCs w:val="32"/>
          <w:lang w:val="en-US" w:eastAsia="zh-CN"/>
        </w:rPr>
        <w:t>资助。</w:t>
      </w:r>
      <w:r>
        <w:rPr>
          <w:rFonts w:hint="eastAsia" w:ascii="仿宋_GB2312" w:hAnsi="Calibri" w:eastAsia="仿宋_GB2312" w:cs="Times New Roman"/>
          <w:sz w:val="32"/>
          <w:szCs w:val="32"/>
          <w:lang w:val="en-US" w:eastAsia="zh-CN"/>
        </w:rPr>
        <w:t>6.质量基础设施协同服务项目（第九条第三款）</w:t>
      </w:r>
      <w:r>
        <w:rPr>
          <w:rFonts w:hint="eastAsia" w:ascii="仿宋_GB2312" w:hAnsi="Calibri" w:eastAsia="仿宋_GB2312" w:cs="Times New Roman"/>
          <w:sz w:val="32"/>
          <w:szCs w:val="32"/>
          <w:lang w:eastAsia="zh-CN"/>
        </w:rPr>
        <w:t>，对推进大湾区</w:t>
      </w:r>
      <w:r>
        <w:rPr>
          <w:rFonts w:hint="eastAsia" w:ascii="仿宋_GB2312" w:hAnsi="Calibri" w:eastAsia="仿宋_GB2312" w:cs="Times New Roman"/>
          <w:sz w:val="32"/>
          <w:szCs w:val="32"/>
          <w:lang w:val="en-US" w:eastAsia="zh-CN"/>
        </w:rPr>
        <w:t>QI互联互通和</w:t>
      </w:r>
      <w:r>
        <w:rPr>
          <w:rFonts w:hint="eastAsia" w:ascii="仿宋_GB2312" w:hAnsi="Calibri" w:eastAsia="仿宋_GB2312" w:cs="Times New Roman"/>
          <w:sz w:val="32"/>
          <w:szCs w:val="32"/>
        </w:rPr>
        <w:t>为中小企业稳增长拓市场提供精准服务</w:t>
      </w:r>
      <w:r>
        <w:rPr>
          <w:rFonts w:hint="eastAsia" w:ascii="仿宋_GB2312" w:hAnsi="Calibri" w:eastAsia="仿宋_GB2312" w:cs="Times New Roman"/>
          <w:sz w:val="32"/>
          <w:szCs w:val="32"/>
          <w:lang w:eastAsia="zh-CN"/>
        </w:rPr>
        <w:t>的单位，</w:t>
      </w:r>
      <w:r>
        <w:rPr>
          <w:rFonts w:hint="eastAsia" w:ascii="仿宋_GB2312" w:hAnsi="Calibri" w:eastAsia="仿宋_GB2312" w:cs="Times New Roman"/>
          <w:sz w:val="32"/>
          <w:szCs w:val="32"/>
        </w:rPr>
        <w:t>每个项目资助20万元，每年每家单位资助不超过2项</w:t>
      </w:r>
      <w:r>
        <w:rPr>
          <w:rFonts w:hint="eastAsia" w:ascii="仿宋_GB2312" w:hAnsi="Calibri" w:eastAsia="仿宋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提升供给质量和效率方向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宋体" w:eastAsia="仿宋_GB2312" w:cs="仿宋_GB2312"/>
          <w:sz w:val="32"/>
          <w:szCs w:val="32"/>
          <w:lang w:val="en-US" w:eastAsia="zh-CN"/>
        </w:rPr>
        <w:t>7.国家、省、市质量品牌标杆项目</w:t>
      </w:r>
      <w:r>
        <w:rPr>
          <w:rFonts w:hint="eastAsia" w:ascii="仿宋_GB2312" w:hAnsi="仿宋_GB2312" w:eastAsia="仿宋_GB2312" w:cs="仿宋_GB2312"/>
          <w:sz w:val="32"/>
          <w:szCs w:val="32"/>
          <w:lang w:val="en-US" w:eastAsia="zh-CN"/>
        </w:rPr>
        <w:t>（第十条第一款），对获得</w:t>
      </w:r>
      <w:r>
        <w:rPr>
          <w:rFonts w:hint="eastAsia" w:ascii="仿宋_GB2312" w:hAnsi="宋体" w:eastAsia="仿宋_GB2312" w:cs="仿宋_GB2312"/>
          <w:sz w:val="32"/>
          <w:szCs w:val="32"/>
        </w:rPr>
        <w:t>国家</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省</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市政府质量</w:t>
      </w:r>
      <w:r>
        <w:rPr>
          <w:rFonts w:hint="eastAsia" w:ascii="仿宋_GB2312" w:hAnsi="宋体" w:eastAsia="仿宋_GB2312" w:cs="仿宋_GB2312"/>
          <w:sz w:val="32"/>
          <w:szCs w:val="32"/>
          <w:lang w:eastAsia="zh-CN"/>
        </w:rPr>
        <w:t>品牌</w:t>
      </w:r>
      <w:r>
        <w:rPr>
          <w:rFonts w:hint="eastAsia" w:ascii="仿宋_GB2312" w:hAnsi="宋体" w:eastAsia="仿宋_GB2312" w:cs="仿宋_GB2312"/>
          <w:sz w:val="32"/>
          <w:szCs w:val="32"/>
        </w:rPr>
        <w:t>荣誉</w:t>
      </w:r>
      <w:r>
        <w:rPr>
          <w:rFonts w:hint="eastAsia" w:ascii="仿宋_GB2312" w:hAnsi="宋体" w:eastAsia="仿宋_GB2312" w:cs="仿宋_GB2312"/>
          <w:sz w:val="32"/>
          <w:szCs w:val="32"/>
          <w:lang w:eastAsia="zh-CN"/>
        </w:rPr>
        <w:t>的单位，</w:t>
      </w:r>
      <w:r>
        <w:rPr>
          <w:rFonts w:hint="eastAsia" w:ascii="仿宋_GB2312" w:hAnsi="Calibri" w:eastAsia="仿宋_GB2312" w:cs="Times New Roman"/>
          <w:sz w:val="32"/>
          <w:szCs w:val="32"/>
          <w:lang w:eastAsia="zh-CN"/>
        </w:rPr>
        <w:t>分别予以</w:t>
      </w:r>
      <w:r>
        <w:rPr>
          <w:rFonts w:hint="default" w:ascii="仿宋_GB2312" w:hAnsi="宋体" w:eastAsia="仿宋_GB2312" w:cs="仿宋_GB2312"/>
          <w:sz w:val="32"/>
          <w:szCs w:val="32"/>
          <w:lang w:val="en" w:eastAsia="zh-CN"/>
        </w:rPr>
        <w:t>1</w:t>
      </w:r>
      <w:r>
        <w:rPr>
          <w:rFonts w:hint="eastAsia" w:ascii="仿宋_GB2312" w:hAnsi="宋体" w:eastAsia="仿宋_GB2312" w:cs="仿宋_GB2312"/>
          <w:sz w:val="32"/>
          <w:szCs w:val="32"/>
          <w:lang w:val="en-US" w:eastAsia="zh-CN"/>
        </w:rPr>
        <w:t>0万元</w:t>
      </w:r>
      <w:r>
        <w:rPr>
          <w:rFonts w:hint="eastAsia" w:ascii="仿宋_GB2312" w:hAnsi="宋体" w:eastAsia="仿宋_GB2312" w:cs="仿宋_GB2312"/>
          <w:sz w:val="32"/>
          <w:szCs w:val="32"/>
          <w:lang w:eastAsia="zh-CN"/>
        </w:rPr>
        <w:t>至</w:t>
      </w:r>
      <w:r>
        <w:rPr>
          <w:rFonts w:hint="eastAsia" w:ascii="仿宋_GB2312" w:hAnsi="宋体" w:eastAsia="仿宋_GB2312" w:cs="仿宋_GB2312"/>
          <w:sz w:val="32"/>
          <w:szCs w:val="32"/>
          <w:lang w:val="en-US" w:eastAsia="zh-CN"/>
        </w:rPr>
        <w:t>300</w:t>
      </w:r>
      <w:r>
        <w:rPr>
          <w:rFonts w:hint="eastAsia" w:ascii="仿宋_GB2312" w:hAnsi="宋体" w:eastAsia="仿宋_GB2312" w:cs="仿宋_GB2312"/>
          <w:sz w:val="32"/>
          <w:szCs w:val="32"/>
        </w:rPr>
        <w:t>万元</w:t>
      </w:r>
      <w:r>
        <w:rPr>
          <w:rFonts w:hint="eastAsia" w:ascii="仿宋_GB2312" w:hAnsi="宋体" w:eastAsia="仿宋_GB2312" w:cs="仿宋_GB2312"/>
          <w:sz w:val="32"/>
          <w:szCs w:val="32"/>
          <w:lang w:eastAsia="zh-CN"/>
        </w:rPr>
        <w:t>质量工作资助</w:t>
      </w:r>
      <w:r>
        <w:rPr>
          <w:rFonts w:hint="eastAsia" w:ascii="仿宋_GB2312" w:hAnsi="宋体" w:eastAsia="仿宋_GB2312" w:cs="仿宋_GB2312"/>
          <w:sz w:val="32"/>
          <w:szCs w:val="32"/>
          <w:lang w:val="en-US" w:eastAsia="zh-CN"/>
        </w:rPr>
        <w:t>。8.高质量发展示范单位项目</w:t>
      </w:r>
      <w:r>
        <w:rPr>
          <w:rFonts w:hint="eastAsia" w:ascii="仿宋_GB2312" w:hAnsi="仿宋_GB2312" w:eastAsia="仿宋_GB2312" w:cs="仿宋_GB2312"/>
          <w:sz w:val="32"/>
          <w:szCs w:val="32"/>
          <w:lang w:val="en-US" w:eastAsia="zh-CN"/>
        </w:rPr>
        <w:t>（第十条第二款），支持企业和组织建立先进的质量经营管理模式，以满足需求为导向持续创新产品、业务、模式和业态，对按照卓越绩效管理国家标准评价达到较高成熟度的组织，予以30万元资助。9.高价值品牌示范单位项目（第十条第三款），推动“深圳品牌”集聚化、现代化、国际化发展，对于按照国际、国家品牌标准衡量为品牌要素高端、品牌价值领先的组织，予以50万元支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第五章  项目申报和审核，</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条。对扶持项目的申报和审核的流程、要求作出明确规定。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第六章  绩效</w:t>
      </w:r>
      <w:r>
        <w:rPr>
          <w:rFonts w:hint="eastAsia" w:ascii="楷体_GB2312" w:hAnsi="楷体_GB2312" w:eastAsia="楷体_GB2312" w:cs="楷体_GB2312"/>
          <w:sz w:val="32"/>
          <w:szCs w:val="32"/>
          <w:lang w:eastAsia="zh-CN"/>
        </w:rPr>
        <w:t>评价</w:t>
      </w:r>
      <w:r>
        <w:rPr>
          <w:rFonts w:hint="eastAsia" w:ascii="楷体_GB2312" w:hAnsi="楷体_GB2312" w:eastAsia="楷体_GB2312" w:cs="楷体_GB2312"/>
          <w:sz w:val="32"/>
          <w:szCs w:val="32"/>
        </w:rPr>
        <w:t>和监督管理，</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条。</w:t>
      </w:r>
      <w:r>
        <w:rPr>
          <w:rFonts w:hint="eastAsia" w:ascii="仿宋_GB2312" w:hAnsi="仿宋_GB2312" w:eastAsia="仿宋_GB2312" w:cs="仿宋_GB2312"/>
          <w:sz w:val="32"/>
          <w:szCs w:val="32"/>
          <w:lang w:eastAsia="zh-CN"/>
        </w:rPr>
        <w:t>对绩效评价要求、实施跟踪监控措施及责任追究作出明确规定。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第七章  附则，</w:t>
      </w:r>
      <w:r>
        <w:rPr>
          <w:rFonts w:hint="eastAsia" w:ascii="仿宋_GB2312" w:hAnsi="仿宋_GB2312" w:eastAsia="仿宋_GB2312" w:cs="仿宋_GB2312"/>
          <w:sz w:val="32"/>
          <w:szCs w:val="32"/>
        </w:rPr>
        <w:t>共</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条。对《操作规程》的实施启止期限、解释权作出明确具体规定。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pPr>
      <w:r>
        <w:rPr>
          <w:rFonts w:hint="eastAsia" w:ascii="仿宋_GB2312" w:hAnsi="仿宋_GB2312" w:eastAsia="仿宋_GB2312" w:cs="仿宋_GB2312"/>
          <w:sz w:val="32"/>
          <w:szCs w:val="32"/>
        </w:rPr>
        <w:t>专此说明</w:t>
      </w:r>
      <w:r>
        <w:rPr>
          <w:rFonts w:hint="eastAsia" w:ascii="仿宋_GB2312" w:hAnsi="仿宋_GB2312" w:eastAsia="仿宋_GB2312" w:cs="仿宋_GB2312"/>
          <w:sz w:val="32"/>
          <w:szCs w:val="32"/>
          <w:lang w:eastAsia="zh-CN"/>
        </w:rPr>
        <w:t>。</w:t>
      </w:r>
      <w:bookmarkStart w:id="0" w:name="_GoBack"/>
      <w:bookmarkEnd w:id="0"/>
    </w:p>
    <w:sectPr>
      <w:footerReference r:id="rId3" w:type="default"/>
      <w:footerReference r:id="rId4" w:type="even"/>
      <w:pgSz w:w="11906" w:h="16838"/>
      <w:pgMar w:top="1588" w:right="1474" w:bottom="1588" w:left="1474" w:header="851" w:footer="992" w:gutter="0"/>
      <w:cols w:space="720" w:num="1"/>
      <w:titlePg/>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altName w:val="Arial Unicode MS"/>
    <w:panose1 w:val="02000000000000000000"/>
    <w:charset w:val="86"/>
    <w:family w:val="auto"/>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7"/>
        <w:rFonts w:hint="eastAsia"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rPr>
      <w:fldChar w:fldCharType="begin"/>
    </w:r>
    <w:r>
      <w:rPr>
        <w:rFonts w:hint="eastAsia" w:ascii="仿宋_GB2312" w:eastAsia="仿宋_GB2312"/>
        <w:sz w:val="28"/>
        <w:szCs w:val="28"/>
      </w:rPr>
      <w:instrText xml:space="preserve"> PAGE </w:instrText>
    </w:r>
    <w:r>
      <w:rPr>
        <w:rFonts w:hint="eastAsia" w:ascii="仿宋_GB2312" w:eastAsia="仿宋_GB2312"/>
        <w:sz w:val="28"/>
        <w:szCs w:val="28"/>
      </w:rPr>
      <w:fldChar w:fldCharType="separate"/>
    </w:r>
    <w:r>
      <w:rPr>
        <w:rFonts w:ascii="仿宋_GB2312" w:eastAsia="仿宋_GB2312"/>
        <w:sz w:val="28"/>
        <w:szCs w:val="28"/>
      </w:rPr>
      <w:t>20</w:t>
    </w:r>
    <w:r>
      <w:rPr>
        <w:rFonts w:hint="eastAsia" w:ascii="仿宋_GB2312" w:eastAsia="仿宋_GB2312"/>
        <w:sz w:val="28"/>
        <w:szCs w:val="28"/>
      </w:rPr>
      <w:fldChar w:fldCharType="end"/>
    </w:r>
    <w:r>
      <w:rPr>
        <w:rFonts w:hint="eastAsia" w:ascii="仿宋_GB2312" w:eastAsia="仿宋_GB2312"/>
        <w:sz w:val="28"/>
        <w:szCs w:val="28"/>
      </w:rPr>
      <w:t xml:space="preserve"> -</w:t>
    </w:r>
  </w:p>
  <w:p>
    <w:pPr>
      <w:pStyle w:val="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7"/>
      </w:rPr>
    </w:pPr>
    <w:r>
      <w:fldChar w:fldCharType="begin"/>
    </w:r>
    <w:r>
      <w:rPr>
        <w:rStyle w:val="7"/>
      </w:rPr>
      <w:instrText xml:space="preserve">PAGE  </w:instrText>
    </w:r>
    <w:r>
      <w:fldChar w:fldCharType="end"/>
    </w:r>
  </w:p>
  <w:p>
    <w:pPr>
      <w:pStyle w:val="4"/>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0AB4369"/>
    <w:multiLevelType w:val="singleLevel"/>
    <w:tmpl w:val="F0AB4369"/>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34C6E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Body Text"/>
    <w:basedOn w:val="1"/>
    <w:next w:val="3"/>
    <w:unhideWhenUsed/>
    <w:qFormat/>
    <w:uiPriority w:val="0"/>
    <w:pPr>
      <w:spacing w:after="120"/>
    </w:pPr>
    <w:rPr>
      <w:rFonts w:ascii="Calibri" w:hAnsi="Calibri"/>
    </w:rPr>
  </w:style>
  <w:style w:type="paragraph" w:styleId="3">
    <w:name w:val="Title"/>
    <w:basedOn w:val="1"/>
    <w:next w:val="1"/>
    <w:qFormat/>
    <w:uiPriority w:val="0"/>
    <w:pPr>
      <w:jc w:val="center"/>
      <w:outlineLvl w:val="0"/>
    </w:pPr>
    <w:rPr>
      <w:rFonts w:ascii="Arial" w:hAnsi="Arial"/>
      <w:b/>
      <w:sz w:val="32"/>
    </w:rPr>
  </w:style>
  <w:style w:type="paragraph" w:styleId="4">
    <w:name w:val="footer"/>
    <w:basedOn w:val="1"/>
    <w:qFormat/>
    <w:uiPriority w:val="0"/>
    <w:pPr>
      <w:tabs>
        <w:tab w:val="center" w:pos="4153"/>
        <w:tab w:val="right" w:pos="8306"/>
      </w:tabs>
      <w:snapToGrid w:val="0"/>
      <w:jc w:val="left"/>
    </w:pPr>
    <w:rPr>
      <w:rFonts w:ascii="宋体" w:hAnsi="宋体" w:eastAsia="宋体" w:cstheme="minorBidi"/>
      <w:sz w:val="2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lizhen1</dc:creator>
  <cp:lastModifiedBy>李臻</cp:lastModifiedBy>
  <dcterms:modified xsi:type="dcterms:W3CDTF">2022-03-30T02:28:20Z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