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eastAsia="黑体" w:cs="黑体"/>
          <w:sz w:val="32"/>
          <w:szCs w:val="32"/>
        </w:rPr>
      </w:pPr>
      <w:r>
        <w:rPr>
          <w:rFonts w:hint="eastAsia"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广东省设定的涉企经营许可事项改革清单（</w:t>
      </w:r>
      <w:r>
        <w:rPr>
          <w:rFonts w:hint="eastAsia" w:ascii="方正小标宋_GBK" w:hAnsi="方正小标宋_GBK" w:eastAsia="方正小标宋_GBK" w:cs="方正小标宋_GBK"/>
          <w:sz w:val="40"/>
          <w:szCs w:val="40"/>
          <w:lang w:val="en-US" w:eastAsia="zh-CN"/>
        </w:rPr>
        <w:t>2022年</w:t>
      </w:r>
      <w:r>
        <w:rPr>
          <w:rFonts w:hint="eastAsia" w:ascii="方正小标宋_GBK" w:hAnsi="方正小标宋_GBK" w:eastAsia="方正小标宋_GBK" w:cs="方正小标宋_GBK"/>
          <w:sz w:val="40"/>
          <w:szCs w:val="40"/>
        </w:rPr>
        <w:t>深圳版）</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楷体_GBK" w:eastAsia="方正楷体_GBK" w:cs="方正楷体_GBK"/>
          <w:sz w:val="30"/>
          <w:szCs w:val="30"/>
        </w:rPr>
      </w:pPr>
      <w:r>
        <w:rPr>
          <w:rFonts w:ascii="Times New Roman" w:hAnsi="Times New Roman" w:eastAsia="楷体_GB2312" w:cs="Times New Roman"/>
          <w:sz w:val="30"/>
          <w:szCs w:val="30"/>
        </w:rPr>
        <w:t>（共4项）</w:t>
      </w:r>
    </w:p>
    <w:tbl>
      <w:tblPr>
        <w:tblStyle w:val="3"/>
        <w:tblW w:w="0" w:type="auto"/>
        <w:jc w:val="center"/>
        <w:tblLayout w:type="fixed"/>
        <w:tblCellMar>
          <w:top w:w="15" w:type="dxa"/>
          <w:left w:w="15" w:type="dxa"/>
          <w:bottom w:w="15" w:type="dxa"/>
          <w:right w:w="15" w:type="dxa"/>
        </w:tblCellMar>
      </w:tblPr>
      <w:tblGrid>
        <w:gridCol w:w="515"/>
        <w:gridCol w:w="543"/>
        <w:gridCol w:w="1280"/>
        <w:gridCol w:w="1063"/>
        <w:gridCol w:w="1066"/>
        <w:gridCol w:w="454"/>
        <w:gridCol w:w="454"/>
        <w:gridCol w:w="454"/>
        <w:gridCol w:w="458"/>
        <w:gridCol w:w="3033"/>
        <w:gridCol w:w="2894"/>
        <w:gridCol w:w="1423"/>
        <w:gridCol w:w="865"/>
      </w:tblGrid>
      <w:tr>
        <w:tblPrEx>
          <w:tblCellMar>
            <w:top w:w="15" w:type="dxa"/>
            <w:left w:w="15" w:type="dxa"/>
            <w:bottom w:w="15" w:type="dxa"/>
            <w:right w:w="15" w:type="dxa"/>
          </w:tblCellMar>
        </w:tblPrEx>
        <w:trPr>
          <w:trHeight w:val="312" w:hRule="exact"/>
          <w:tblHeader/>
          <w:jc w:val="center"/>
        </w:trPr>
        <w:tc>
          <w:tcPr>
            <w:tcW w:w="5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序</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号</w:t>
            </w:r>
          </w:p>
        </w:tc>
        <w:tc>
          <w:tcPr>
            <w:tcW w:w="54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主管部门</w:t>
            </w:r>
          </w:p>
        </w:tc>
        <w:tc>
          <w:tcPr>
            <w:tcW w:w="128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改革事项</w:t>
            </w:r>
          </w:p>
        </w:tc>
        <w:tc>
          <w:tcPr>
            <w:tcW w:w="106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宋体" w:eastAsia="黑体" w:cs="黑体"/>
                <w:spacing w:val="-20"/>
                <w:kern w:val="0"/>
                <w:szCs w:val="21"/>
              </w:rPr>
            </w:pPr>
            <w:r>
              <w:rPr>
                <w:rFonts w:hint="eastAsia" w:ascii="黑体" w:hAnsi="宋体" w:eastAsia="黑体" w:cs="黑体"/>
                <w:spacing w:val="-20"/>
                <w:kern w:val="0"/>
                <w:szCs w:val="21"/>
              </w:rPr>
              <w:t>审批层级</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宋体" w:eastAsia="黑体" w:cs="黑体"/>
                <w:kern w:val="0"/>
                <w:szCs w:val="21"/>
              </w:rPr>
              <w:t>和部门</w:t>
            </w:r>
          </w:p>
        </w:tc>
        <w:tc>
          <w:tcPr>
            <w:tcW w:w="10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设定依据</w:t>
            </w:r>
          </w:p>
        </w:tc>
        <w:tc>
          <w:tcPr>
            <w:tcW w:w="182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改革方式</w:t>
            </w:r>
          </w:p>
        </w:tc>
        <w:tc>
          <w:tcPr>
            <w:tcW w:w="3033"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具体改革举措</w:t>
            </w:r>
          </w:p>
        </w:tc>
        <w:tc>
          <w:tcPr>
            <w:tcW w:w="289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加强事中事后监管措施</w:t>
            </w:r>
          </w:p>
        </w:tc>
        <w:tc>
          <w:tcPr>
            <w:tcW w:w="1423"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市责任单位</w:t>
            </w:r>
          </w:p>
        </w:tc>
        <w:tc>
          <w:tcPr>
            <w:tcW w:w="865"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备注</w:t>
            </w:r>
          </w:p>
        </w:tc>
      </w:tr>
      <w:tr>
        <w:tblPrEx>
          <w:tblCellMar>
            <w:top w:w="15" w:type="dxa"/>
            <w:left w:w="15" w:type="dxa"/>
            <w:bottom w:w="15" w:type="dxa"/>
            <w:right w:w="15" w:type="dxa"/>
          </w:tblCellMar>
        </w:tblPrEx>
        <w:trPr>
          <w:trHeight w:val="820" w:hRule="atLeast"/>
          <w:tblHeader/>
          <w:jc w:val="center"/>
        </w:trPr>
        <w:tc>
          <w:tcPr>
            <w:tcW w:w="5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54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128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106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1066"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直接</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取消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审批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审批改为备案</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实行告知承诺</w:t>
            </w: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Cs w:val="21"/>
              </w:rPr>
            </w:pPr>
            <w:r>
              <w:rPr>
                <w:rFonts w:hint="eastAsia" w:ascii="黑体" w:hAnsi="黑体" w:eastAsia="黑体" w:cs="黑体"/>
                <w:color w:val="000000"/>
                <w:kern w:val="0"/>
                <w:szCs w:val="21"/>
              </w:rPr>
              <w:t>优化审批服务</w:t>
            </w:r>
          </w:p>
        </w:tc>
        <w:tc>
          <w:tcPr>
            <w:tcW w:w="3033" w:type="dxa"/>
            <w:vMerge w:val="continue"/>
            <w:tcBorders>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289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1423"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c>
          <w:tcPr>
            <w:tcW w:w="865"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color w:val="000000"/>
                <w:kern w:val="0"/>
                <w:szCs w:val="21"/>
              </w:rPr>
            </w:pPr>
          </w:p>
        </w:tc>
      </w:tr>
      <w:tr>
        <w:tblPrEx>
          <w:tblCellMar>
            <w:top w:w="15" w:type="dxa"/>
            <w:left w:w="15" w:type="dxa"/>
            <w:bottom w:w="15" w:type="dxa"/>
            <w:right w:w="15" w:type="dxa"/>
          </w:tblCellMar>
        </w:tblPrEx>
        <w:trPr>
          <w:trHeight w:val="2721"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广东省公安厅</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安全技术防范系统设计、施工、维修资格证核发</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省级、市级公安机关</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《广东省安全技术防范管理条例》（2010年修改）</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30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减免提交材料。免提交“工商营业执照”“营业场所房产证明或房屋租赁合同及出租方的房产证明”“企业人员近三个月社会保险参保证明”“专业技术职称证书”“从业资格证书”“技防系统业绩发票”等6项材料。</w:t>
            </w: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缩短承诺办结时限。承诺办结时限缩减为5个工作日。</w:t>
            </w:r>
          </w:p>
        </w:tc>
        <w:tc>
          <w:tcPr>
            <w:tcW w:w="289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1.全面落实“</w:t>
            </w:r>
            <w:bookmarkStart w:id="0" w:name="_GoBack"/>
            <w:bookmarkEnd w:id="0"/>
            <w:r>
              <w:rPr>
                <w:rFonts w:hint="eastAsia" w:ascii="宋体" w:hAnsi="宋体" w:eastAsia="宋体" w:cs="宋体"/>
                <w:kern w:val="0"/>
                <w:sz w:val="20"/>
                <w:szCs w:val="20"/>
              </w:rPr>
              <w:t>双随机、一公开”监管、跨部门联合监管和“互联网+监管”。2.强化社会信用监督，建立统一的“黑名单”制度，对失信主体在行业准入环节依法实施限制或禁入。3.发挥社会监督作用，引导社会力量参与市场秩序治理，共同推进联合惩戒等市场禁入措施落到实处。</w:t>
            </w:r>
          </w:p>
        </w:tc>
        <w:tc>
          <w:tcPr>
            <w:tcW w:w="142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市公安局</w:t>
            </w:r>
          </w:p>
        </w:tc>
        <w:tc>
          <w:tcPr>
            <w:tcW w:w="8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kern w:val="0"/>
                <w:sz w:val="20"/>
                <w:szCs w:val="20"/>
              </w:rPr>
            </w:pPr>
          </w:p>
        </w:tc>
      </w:tr>
      <w:tr>
        <w:tblPrEx>
          <w:tblCellMar>
            <w:top w:w="15" w:type="dxa"/>
            <w:left w:w="15" w:type="dxa"/>
            <w:bottom w:w="15" w:type="dxa"/>
            <w:right w:w="15" w:type="dxa"/>
          </w:tblCellMar>
        </w:tblPrEx>
        <w:trPr>
          <w:trHeight w:val="3090" w:hRule="exact"/>
          <w:jc w:val="center"/>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广东省市场监督管理局</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食品生产加工小作坊登记</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县级市场监管部门</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《广东省食品生产加工小作坊和食品摊贩管理条例》（广东省第十二届人民代表大会常务委员</w:t>
            </w:r>
            <w:r>
              <w:rPr>
                <w:rFonts w:hint="eastAsia" w:ascii="宋体" w:hAnsi="宋体" w:eastAsia="宋体" w:cs="宋体"/>
                <w:kern w:val="0"/>
                <w:sz w:val="20"/>
                <w:szCs w:val="20"/>
                <w:lang w:eastAsia="zh-CN"/>
              </w:rPr>
              <w:t>会</w:t>
            </w:r>
            <w:r>
              <w:rPr>
                <w:rFonts w:hint="eastAsia" w:ascii="宋体" w:hAnsi="宋体" w:eastAsia="宋体" w:cs="宋体"/>
                <w:kern w:val="0"/>
                <w:sz w:val="20"/>
                <w:szCs w:val="20"/>
              </w:rPr>
              <w:t>公告第38号）</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303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1.完善食品小作坊法律法规与制度。2.完善食品小作坊登记制度，优化食品小作坊登记程序，精简申报材料、压缩工作时限。3.完善食品小作坊信息化管理，逐步推进食品小作坊登记全流程网上办理与电子登记证。</w:t>
            </w:r>
          </w:p>
        </w:tc>
        <w:tc>
          <w:tcPr>
            <w:tcW w:w="2894"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建立食品小作坊禁止生产加工目录动态调整机制。2.建立推行食品小作坊监管与抽检计划向社会公示制度。3.强化食品小作坊风险隐患排查。4.实施食品小作坊风险分类管理。5.严查食品小作坊违法违规行为。6.强化食品小作坊规范指导。7.推进食品小作坊集中加工区建设。8.落实食品小作坊食品安全各方责任。9.推动食品小作坊社会共治。</w:t>
            </w:r>
          </w:p>
        </w:tc>
        <w:tc>
          <w:tcPr>
            <w:tcW w:w="142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市市场监管局</w:t>
            </w:r>
          </w:p>
        </w:tc>
        <w:tc>
          <w:tcPr>
            <w:tcW w:w="865"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kern w:val="0"/>
                <w:sz w:val="20"/>
                <w:szCs w:val="20"/>
              </w:rPr>
            </w:pPr>
          </w:p>
        </w:tc>
      </w:tr>
      <w:tr>
        <w:tblPrEx>
          <w:tblCellMar>
            <w:top w:w="15" w:type="dxa"/>
            <w:left w:w="15" w:type="dxa"/>
            <w:bottom w:w="15" w:type="dxa"/>
            <w:right w:w="15" w:type="dxa"/>
          </w:tblCellMar>
        </w:tblPrEx>
        <w:trPr>
          <w:trHeight w:val="2835" w:hRule="exact"/>
          <w:jc w:val="center"/>
        </w:trPr>
        <w:tc>
          <w:tcPr>
            <w:tcW w:w="5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54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深圳市公安局</w:t>
            </w:r>
          </w:p>
        </w:tc>
        <w:tc>
          <w:tcPr>
            <w:tcW w:w="12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开办、变更及注销经营性停车场许可</w:t>
            </w:r>
          </w:p>
        </w:tc>
        <w:tc>
          <w:tcPr>
            <w:tcW w:w="106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深圳市公安机关</w:t>
            </w:r>
          </w:p>
        </w:tc>
        <w:tc>
          <w:tcPr>
            <w:tcW w:w="1066" w:type="dxa"/>
            <w:tcBorders>
              <w:top w:val="single" w:color="000000" w:sz="4" w:space="0"/>
              <w:left w:val="single" w:color="000000"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《深圳市停车场规划建设和机动车停放管理条例》（2004年修正）</w:t>
            </w:r>
          </w:p>
        </w:tc>
        <w:tc>
          <w:tcPr>
            <w:tcW w:w="4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4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3033"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将审批权限由市级下放至区县级（各行政区交警大队办理），进一步方便群众办理，提高办证效率。2.采取电子证照和数据共享方式，进一步减少市民需要提交的申请材料。3.实现所有业务全流程网上办理，进一步压缩经营审批时限，材料齐全，设施合格的，当日办结。4.将停车场现场勘验调整为告知承诺。</w:t>
            </w:r>
          </w:p>
        </w:tc>
        <w:tc>
          <w:tcPr>
            <w:tcW w:w="2894"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1.开展“双随机</w:t>
            </w:r>
            <w:r>
              <w:rPr>
                <w:rFonts w:hint="eastAsia" w:ascii="宋体" w:hAnsi="宋体" w:cs="宋体"/>
                <w:kern w:val="0"/>
                <w:sz w:val="20"/>
                <w:szCs w:val="20"/>
                <w:lang w:eastAsia="zh-CN"/>
              </w:rPr>
              <w:t>、</w:t>
            </w:r>
            <w:r>
              <w:rPr>
                <w:rFonts w:hint="eastAsia" w:ascii="宋体" w:hAnsi="宋体" w:eastAsia="宋体" w:cs="宋体"/>
                <w:kern w:val="0"/>
                <w:sz w:val="20"/>
                <w:szCs w:val="20"/>
              </w:rPr>
              <w:t>一公开”监管，依法查处违法违规行为。2.及时处理投诉举报。3.对停车场设施、交通组织等进行事后核验。</w:t>
            </w:r>
          </w:p>
        </w:tc>
        <w:tc>
          <w:tcPr>
            <w:tcW w:w="1423"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市公安局</w:t>
            </w:r>
          </w:p>
        </w:tc>
        <w:tc>
          <w:tcPr>
            <w:tcW w:w="865"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kern w:val="0"/>
                <w:sz w:val="20"/>
                <w:szCs w:val="20"/>
              </w:rPr>
            </w:pPr>
          </w:p>
        </w:tc>
      </w:tr>
      <w:tr>
        <w:tblPrEx>
          <w:tblCellMar>
            <w:top w:w="15" w:type="dxa"/>
            <w:left w:w="15" w:type="dxa"/>
            <w:bottom w:w="15" w:type="dxa"/>
            <w:right w:w="15" w:type="dxa"/>
          </w:tblCellMar>
        </w:tblPrEx>
        <w:trPr>
          <w:trHeight w:val="4365" w:hRule="exac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5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深圳市住房和建设局</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瓶装燃气供应站设立许可</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深圳市县（区）级住房城乡建设部门</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《深圳市燃气条例》</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w:t>
            </w:r>
          </w:p>
        </w:tc>
        <w:tc>
          <w:tcPr>
            <w:tcW w:w="4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kern w:val="0"/>
                <w:sz w:val="20"/>
                <w:szCs w:val="20"/>
              </w:rPr>
            </w:pPr>
          </w:p>
        </w:tc>
        <w:tc>
          <w:tcPr>
            <w:tcW w:w="3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一次性告知申请人申请条件和材料。申请人承诺已经具备许可条件并提交材料的，经形式审查后作出许可决定。2.实现全城通办。申请人可在网上申办本许可事项，无需到窗口办理。如申请人因特殊原因，可到深圳市各区行政服务大厅，通过服务大厅提供的网上申办设备，在专人指引服务下进行网上申办。3.规范资质审批。申请人可在网上实时查询办理进度，并可通过相关电话热线咨询办理事宜和投诉，提高办理流程的公开透明度。4.简化证照发放。由各辖区行政服务大厅出证窗口邮寄至申请人。</w:t>
            </w:r>
          </w:p>
        </w:tc>
        <w:tc>
          <w:tcPr>
            <w:tcW w:w="2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1.发现企业不符合承诺条件开展经营的责令限期整改，逾期不整改或整改后仍未达标的依法撤销许可证件。2.开展“双随机</w:t>
            </w:r>
            <w:r>
              <w:rPr>
                <w:rFonts w:hint="eastAsia" w:ascii="宋体" w:hAnsi="宋体" w:cs="宋体"/>
                <w:kern w:val="0"/>
                <w:sz w:val="20"/>
                <w:szCs w:val="20"/>
                <w:lang w:eastAsia="zh-CN"/>
              </w:rPr>
              <w:t>、</w:t>
            </w:r>
            <w:r>
              <w:rPr>
                <w:rFonts w:hint="eastAsia" w:ascii="宋体" w:hAnsi="宋体" w:eastAsia="宋体" w:cs="宋体"/>
                <w:kern w:val="0"/>
                <w:sz w:val="20"/>
                <w:szCs w:val="20"/>
              </w:rPr>
              <w:t>一公开”监管，同时增加燃气供应站检查次数，加大对燃气供应站的检查力度。3.设立电话热线、匿名信等多种举报方式。接受社会对获得许可的瓶装燃气供应站的投诉举报，对相关投诉举报进行核查处理，并向投诉人回复处理结果。4.加强信用监管，通过深圳市燃气企业信用档案信息平台建立获得许可的瓶装燃气供应站的信用档案，将企业的不良行为记录面向社会进行公示。</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市住房建设局</w:t>
            </w:r>
          </w:p>
        </w:tc>
        <w:tc>
          <w:tcPr>
            <w:tcW w:w="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kern w:val="0"/>
                <w:sz w:val="20"/>
                <w:szCs w:val="20"/>
              </w:rPr>
            </w:pPr>
          </w:p>
        </w:tc>
      </w:tr>
    </w:tbl>
    <w:p>
      <w:pPr>
        <w:rPr>
          <w:rFonts w:hint="eastAsia" w:ascii="仿宋_GB2312" w:hAnsi="仿宋_GB2312" w:eastAsia="仿宋_GB2312" w:cs="仿宋_GB2312"/>
          <w:sz w:val="32"/>
          <w:szCs w:val="32"/>
        </w:rPr>
      </w:pPr>
    </w:p>
    <w:p/>
    <w:sectPr>
      <w:footerReference r:id="rId3" w:type="default"/>
      <w:pgSz w:w="16838" w:h="11906" w:orient="landscape"/>
      <w:pgMar w:top="1440" w:right="1134" w:bottom="1440" w:left="1134" w:header="851" w:footer="992" w:gutter="0"/>
      <w:pgNumType w:fmt="decimal"/>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0250B"/>
    <w:rsid w:val="1100250B"/>
    <w:rsid w:val="394C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3</Pages>
  <Words>1498</Words>
  <Characters>1540</Characters>
  <Lines>0</Lines>
  <Paragraphs>0</Paragraphs>
  <TotalTime>1</TotalTime>
  <ScaleCrop>false</ScaleCrop>
  <LinksUpToDate>false</LinksUpToDate>
  <CharactersWithSpaces>1540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2022-03-03T07:30:00Z</dcterms:created>
  <dc:creator>-Jus</dc:creator>
  <cp:lastModifiedBy>-Jus</cp:lastModifiedBy>
  <dcterms:modified xsi:type="dcterms:W3CDTF">2022-03-30T01:54:38Z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D196E008CEA84AFBACD0488E31E8731B</vt:lpwstr>
  </property>
</Properties>
</file>