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表</w:t>
      </w:r>
      <w:r>
        <w:rPr>
          <w:rFonts w:hint="eastAsia" w:ascii="CESI仿宋-GB2312" w:hAnsi="CESI仿宋-GB2312" w:eastAsia="CESI仿宋-GB2312" w:cs="CESI仿宋-GB2312"/>
          <w:sz w:val="32"/>
          <w:szCs w:val="32"/>
          <w:lang w:val="en-US" w:eastAsia="zh-CN"/>
        </w:rPr>
        <w:t>4</w:t>
      </w:r>
    </w:p>
    <w:p>
      <w:pPr>
        <w:pStyle w:val="35"/>
        <w:rPr>
          <w:rFonts w:ascii="华文中宋" w:hAnsi="华文中宋" w:eastAsia="华文中宋"/>
        </w:rPr>
      </w:pPr>
      <w:r>
        <w:rPr>
          <w:rFonts w:hint="eastAsia" w:ascii="华文中宋" w:hAnsi="华文中宋" w:eastAsia="华文中宋"/>
        </w:rPr>
        <w:t>深圳市重大活动餐饮服务供餐单位现场评估表</w:t>
      </w:r>
    </w:p>
    <w:p>
      <w:pPr>
        <w:pStyle w:val="35"/>
        <w:rPr>
          <w:rFonts w:ascii="华文中宋" w:hAnsi="华文中宋" w:eastAsia="华文中宋"/>
        </w:rPr>
      </w:pPr>
      <w:r>
        <w:rPr>
          <w:rFonts w:hint="eastAsia" w:ascii="华文中宋" w:hAnsi="华文中宋" w:eastAsia="华文中宋"/>
        </w:rPr>
        <w:t>（适用于</w:t>
      </w:r>
      <w:r>
        <w:rPr>
          <w:rFonts w:hint="eastAsia" w:ascii="华文中宋" w:hAnsi="华文中宋" w:eastAsia="华文中宋"/>
          <w:lang w:val="en-US" w:eastAsia="zh-CN"/>
        </w:rPr>
        <w:t>连锁餐饮总部下属门店</w:t>
      </w:r>
      <w:r>
        <w:rPr>
          <w:rFonts w:hint="eastAsia" w:ascii="华文中宋" w:hAnsi="华文中宋" w:eastAsia="华文中宋"/>
        </w:rPr>
        <w:t>）</w:t>
      </w:r>
    </w:p>
    <w:tbl>
      <w:tblPr>
        <w:tblStyle w:val="13"/>
        <w:tblW w:w="15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1134"/>
        <w:gridCol w:w="8115"/>
        <w:gridCol w:w="2160"/>
        <w:gridCol w:w="814"/>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blHeader/>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评估内容</w:t>
            </w:r>
          </w:p>
        </w:tc>
        <w:tc>
          <w:tcPr>
            <w:tcW w:w="1134" w:type="dxa"/>
            <w:shd w:val="clear" w:color="000000" w:fill="FFFFFF"/>
            <w:vAlign w:val="center"/>
          </w:tcPr>
          <w:p>
            <w:pPr>
              <w:jc w:val="center"/>
              <w:rPr>
                <w:rFonts w:ascii="仿宋_GB2312" w:hAnsi="宋体" w:cs="宋体"/>
                <w:b/>
                <w:bCs/>
              </w:rPr>
            </w:pPr>
            <w:r>
              <w:rPr>
                <w:rFonts w:hint="eastAsia" w:ascii="仿宋_GB2312" w:hAnsi="宋体" w:cs="宋体"/>
                <w:b/>
                <w:bCs/>
              </w:rPr>
              <w:t>编号/</w:t>
            </w:r>
          </w:p>
          <w:p>
            <w:pPr>
              <w:jc w:val="center"/>
              <w:rPr>
                <w:rFonts w:ascii="仿宋_GB2312" w:hAnsi="宋体" w:cs="宋体"/>
                <w:b/>
                <w:bCs/>
              </w:rPr>
            </w:pPr>
            <w:r>
              <w:rPr>
                <w:rFonts w:hint="eastAsia" w:ascii="仿宋_GB2312" w:hAnsi="宋体" w:cs="宋体"/>
                <w:b/>
                <w:bCs/>
              </w:rPr>
              <w:t>分数</w:t>
            </w:r>
          </w:p>
        </w:tc>
        <w:tc>
          <w:tcPr>
            <w:tcW w:w="8115" w:type="dxa"/>
            <w:shd w:val="clear" w:color="000000" w:fill="FFFFFF"/>
            <w:vAlign w:val="center"/>
          </w:tcPr>
          <w:p>
            <w:pPr>
              <w:jc w:val="center"/>
              <w:rPr>
                <w:rFonts w:ascii="仿宋_GB2312" w:hAnsi="宋体" w:cs="宋体"/>
                <w:b/>
                <w:bCs/>
              </w:rPr>
            </w:pPr>
            <w:r>
              <w:rPr>
                <w:rFonts w:hint="eastAsia" w:ascii="仿宋_GB2312" w:hAnsi="宋体" w:cs="宋体"/>
                <w:b/>
                <w:bCs/>
              </w:rPr>
              <w:t>评估项目与评分标准</w:t>
            </w:r>
          </w:p>
        </w:tc>
        <w:tc>
          <w:tcPr>
            <w:tcW w:w="2160" w:type="dxa"/>
            <w:shd w:val="clear" w:color="000000" w:fill="FFFFFF"/>
            <w:vAlign w:val="center"/>
          </w:tcPr>
          <w:p>
            <w:pPr>
              <w:jc w:val="center"/>
              <w:rPr>
                <w:rFonts w:ascii="仿宋_GB2312" w:hAnsi="宋体" w:cs="宋体"/>
                <w:b/>
                <w:bCs/>
              </w:rPr>
            </w:pPr>
            <w:r>
              <w:rPr>
                <w:rFonts w:hint="eastAsia" w:ascii="仿宋_GB2312" w:hAnsi="宋体" w:cs="宋体"/>
                <w:b/>
                <w:bCs/>
              </w:rPr>
              <w:t>评估情况</w:t>
            </w:r>
          </w:p>
        </w:tc>
        <w:tc>
          <w:tcPr>
            <w:tcW w:w="814" w:type="dxa"/>
            <w:shd w:val="clear" w:color="000000" w:fill="FFFFFF"/>
            <w:vAlign w:val="center"/>
          </w:tcPr>
          <w:p>
            <w:pPr>
              <w:jc w:val="center"/>
              <w:rPr>
                <w:rFonts w:ascii="仿宋_GB2312" w:hAnsi="宋体" w:cs="宋体"/>
                <w:b/>
                <w:bCs/>
              </w:rPr>
            </w:pPr>
            <w:r>
              <w:rPr>
                <w:rFonts w:hint="eastAsia" w:ascii="仿宋_GB2312" w:hAnsi="宋体" w:cs="宋体"/>
                <w:b/>
                <w:bCs/>
              </w:rPr>
              <w:t>扣分</w:t>
            </w:r>
          </w:p>
        </w:tc>
        <w:tc>
          <w:tcPr>
            <w:tcW w:w="1551" w:type="dxa"/>
            <w:shd w:val="clear" w:color="000000" w:fill="FFFFFF"/>
            <w:vAlign w:val="center"/>
          </w:tcPr>
          <w:p>
            <w:pPr>
              <w:jc w:val="center"/>
              <w:rPr>
                <w:rFonts w:ascii="仿宋_GB2312" w:hAnsi="宋体" w:cs="宋体"/>
                <w:b/>
                <w:bCs/>
              </w:rPr>
            </w:pPr>
            <w:r>
              <w:rPr>
                <w:rFonts w:hint="eastAsia" w:ascii="仿宋_GB2312" w:hAnsi="宋体" w:cs="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否决项</w:t>
            </w:r>
          </w:p>
        </w:tc>
        <w:tc>
          <w:tcPr>
            <w:tcW w:w="1134" w:type="dxa"/>
            <w:shd w:val="clear" w:color="000000" w:fill="FFFFFF"/>
            <w:vAlign w:val="center"/>
          </w:tcPr>
          <w:p>
            <w:pPr>
              <w:jc w:val="center"/>
              <w:rPr>
                <w:rFonts w:ascii="仿宋_GB2312" w:hAnsi="宋体" w:cs="宋体"/>
                <w:color w:val="000000"/>
              </w:rPr>
            </w:pPr>
          </w:p>
        </w:tc>
        <w:tc>
          <w:tcPr>
            <w:tcW w:w="8115" w:type="dxa"/>
            <w:shd w:val="clear" w:color="000000" w:fill="FFFFFF"/>
            <w:vAlign w:val="center"/>
          </w:tcPr>
          <w:p>
            <w:pPr>
              <w:rPr>
                <w:rFonts w:ascii="仿宋_GB2312" w:hAnsi="宋体" w:cs="宋体"/>
                <w:color w:val="000000"/>
                <w:szCs w:val="22"/>
              </w:rPr>
            </w:pPr>
            <w:r>
              <w:rPr>
                <w:rFonts w:hint="eastAsia" w:ascii="仿宋_GB2312" w:hAnsi="宋体" w:cs="宋体"/>
                <w:b/>
                <w:bCs/>
                <w:color w:val="000000"/>
                <w:szCs w:val="22"/>
              </w:rPr>
              <w:t>评估项目：</w:t>
            </w:r>
            <w:r>
              <w:rPr>
                <w:rFonts w:hint="eastAsia" w:ascii="仿宋_GB2312" w:hAnsi="宋体" w:cs="宋体"/>
                <w:color w:val="000000"/>
                <w:szCs w:val="22"/>
              </w:rPr>
              <w:t>1.依法取得有效食品经营许可从事食品经营活动；2.两年内未发生食品安全事故；3.两年内未因违反食品安全法等法律法规受到行政处罚的行为。</w:t>
            </w:r>
          </w:p>
          <w:p>
            <w:pPr>
              <w:rPr>
                <w:rFonts w:ascii="仿宋_GB2312" w:hAnsi="宋体" w:cs="宋体"/>
              </w:rPr>
            </w:pPr>
            <w:r>
              <w:rPr>
                <w:rFonts w:hint="eastAsia" w:ascii="仿宋_GB2312" w:hAnsi="宋体" w:cs="宋体"/>
                <w:b/>
                <w:bCs/>
                <w:color w:val="000000"/>
                <w:szCs w:val="22"/>
              </w:rPr>
              <w:t>评分标准：</w:t>
            </w:r>
            <w:r>
              <w:rPr>
                <w:rFonts w:hint="eastAsia" w:ascii="仿宋_GB2312" w:hAnsi="宋体" w:cs="宋体"/>
                <w:color w:val="000000"/>
                <w:szCs w:val="22"/>
              </w:rPr>
              <w:t>如有违反以上情况任何一条将直接取消评估资格。</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w:t>
            </w:r>
          </w:p>
          <w:p>
            <w:pPr>
              <w:jc w:val="center"/>
              <w:rPr>
                <w:rFonts w:ascii="仿宋_GB2312" w:hAnsi="宋体" w:cs="宋体"/>
              </w:rPr>
            </w:pPr>
            <w:r>
              <w:rPr>
                <w:rFonts w:hint="eastAsia" w:ascii="仿宋_GB2312" w:hAnsi="宋体" w:cs="宋体"/>
                <w:b/>
                <w:bCs/>
              </w:rPr>
              <w:t>证照管理（6分）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1.1</w:t>
            </w:r>
          </w:p>
          <w:p>
            <w:pPr>
              <w:jc w:val="center"/>
              <w:rPr>
                <w:rFonts w:ascii="仿宋_GB2312" w:hAnsi="宋体" w:cs="宋体"/>
                <w:color w:val="000000"/>
              </w:rPr>
            </w:pPr>
            <w:r>
              <w:rPr>
                <w:rFonts w:hint="eastAsia" w:ascii="仿宋_GB2312" w:hAnsi="宋体" w:cs="宋体"/>
              </w:rPr>
              <w:t>（6分）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营业执照、食品</w:t>
            </w:r>
            <w:r>
              <w:rPr>
                <w:rFonts w:hint="eastAsia" w:ascii="仿宋_GB2312" w:hAnsi="宋体" w:cs="宋体"/>
              </w:rPr>
              <w:t>经营许可证、量化等级标识在显著位置公示。</w:t>
            </w:r>
          </w:p>
          <w:p>
            <w:pPr>
              <w:rPr>
                <w:rFonts w:ascii="仿宋_GB2312" w:hAnsi="宋体" w:cs="宋体"/>
              </w:rPr>
            </w:pPr>
            <w:r>
              <w:rPr>
                <w:rFonts w:hint="eastAsia" w:ascii="仿宋_GB2312" w:hAnsi="宋体" w:cs="宋体"/>
                <w:b/>
                <w:bCs/>
              </w:rPr>
              <w:t>评分标准：</w:t>
            </w:r>
            <w:r>
              <w:rPr>
                <w:rFonts w:hint="eastAsia" w:ascii="仿宋_GB2312" w:hAnsi="宋体" w:cs="宋体"/>
              </w:rPr>
              <w:t>未进行公示的，每项扣2分。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2"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2</w:t>
            </w:r>
          </w:p>
          <w:p>
            <w:pPr>
              <w:jc w:val="center"/>
              <w:rPr>
                <w:rFonts w:hint="default" w:ascii="仿宋_GB2312" w:hAnsi="宋体" w:eastAsia="宋体" w:cs="宋体"/>
                <w:b/>
                <w:bCs/>
                <w:color w:val="000000"/>
                <w:lang w:val="en-US" w:eastAsia="zh-CN"/>
              </w:rPr>
            </w:pPr>
            <w:r>
              <w:rPr>
                <w:rFonts w:hint="eastAsia" w:ascii="仿宋_GB2312" w:hAnsi="宋体" w:cs="宋体"/>
                <w:b/>
                <w:bCs/>
                <w:color w:val="000000"/>
                <w:lang w:val="en-US" w:eastAsia="zh-CN"/>
              </w:rPr>
              <w:t>门店组织架构</w:t>
            </w:r>
          </w:p>
          <w:p>
            <w:pPr>
              <w:jc w:val="center"/>
              <w:rPr>
                <w:rFonts w:ascii="仿宋_GB2312" w:hAnsi="宋体" w:cs="宋体"/>
                <w:b/>
                <w:bCs/>
              </w:rPr>
            </w:pPr>
            <w:r>
              <w:rPr>
                <w:rFonts w:hint="eastAsia" w:ascii="仿宋_GB2312" w:hAnsi="宋体" w:cs="宋体"/>
                <w:b/>
                <w:bCs/>
                <w:color w:val="000000"/>
              </w:rPr>
              <w:t>（</w:t>
            </w:r>
            <w:r>
              <w:rPr>
                <w:rFonts w:hint="eastAsia" w:ascii="仿宋_GB2312" w:hAnsi="宋体" w:cs="宋体"/>
                <w:b/>
                <w:bCs/>
                <w:color w:val="000000"/>
                <w:lang w:val="en-US" w:eastAsia="zh-CN"/>
              </w:rPr>
              <w:t>6</w:t>
            </w:r>
            <w:r>
              <w:rPr>
                <w:rFonts w:hint="eastAsia" w:ascii="仿宋_GB2312" w:hAnsi="宋体" w:cs="宋体"/>
                <w:b/>
                <w:bCs/>
                <w:color w:val="000000"/>
              </w:rPr>
              <w:t>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2.1</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lang w:val="en-US" w:eastAsia="zh-CN"/>
              </w:rPr>
              <w:t>门店管理人员</w:t>
            </w:r>
            <w:r>
              <w:rPr>
                <w:rFonts w:hint="eastAsia" w:ascii="仿宋_GB2312" w:hAnsi="宋体" w:cs="宋体"/>
              </w:rPr>
              <w:t>至少包括：</w:t>
            </w:r>
            <w:r>
              <w:rPr>
                <w:rFonts w:hint="eastAsia" w:ascii="仿宋_GB2312" w:hAnsi="宋体" w:cs="宋体"/>
                <w:lang w:val="en-US" w:eastAsia="zh-CN"/>
              </w:rPr>
              <w:t>门店</w:t>
            </w:r>
            <w:r>
              <w:rPr>
                <w:rFonts w:hint="eastAsia" w:ascii="仿宋_GB2312" w:hAnsi="宋体" w:cs="宋体"/>
              </w:rPr>
              <w:t>负责人、</w:t>
            </w:r>
            <w:r>
              <w:rPr>
                <w:rFonts w:hint="eastAsia" w:ascii="仿宋_GB2312" w:hAnsi="宋体" w:cs="宋体"/>
                <w:lang w:val="en-US" w:eastAsia="zh-CN"/>
              </w:rPr>
              <w:t>门店</w:t>
            </w:r>
            <w:r>
              <w:rPr>
                <w:rFonts w:hint="eastAsia" w:ascii="仿宋_GB2312" w:hAnsi="宋体" w:cs="宋体"/>
              </w:rPr>
              <w:t>食品安全管理员、</w:t>
            </w:r>
            <w:r>
              <w:rPr>
                <w:rFonts w:hint="eastAsia" w:ascii="仿宋_GB2312" w:hAnsi="宋体" w:cs="宋体"/>
                <w:lang w:val="en-US" w:eastAsia="zh-CN"/>
              </w:rPr>
              <w:t>原料</w:t>
            </w:r>
            <w:r>
              <w:rPr>
                <w:rFonts w:hint="eastAsia" w:ascii="仿宋_GB2312" w:hAnsi="宋体" w:cs="Helvetica"/>
              </w:rPr>
              <w:t>查验</w:t>
            </w:r>
            <w:r>
              <w:rPr>
                <w:rFonts w:hint="eastAsia" w:ascii="仿宋_GB2312" w:hAnsi="宋体" w:cs="宋体"/>
              </w:rPr>
              <w:t>等关键岗位。</w:t>
            </w:r>
          </w:p>
          <w:p>
            <w:pPr>
              <w:rPr>
                <w:rFonts w:ascii="仿宋_GB2312" w:hAnsi="宋体" w:cs="宋体"/>
              </w:rPr>
            </w:pPr>
            <w:r>
              <w:rPr>
                <w:rFonts w:hint="eastAsia" w:ascii="仿宋_GB2312" w:hAnsi="宋体" w:cs="宋体"/>
                <w:b/>
                <w:bCs/>
              </w:rPr>
              <w:t>评分标准：</w:t>
            </w:r>
            <w:r>
              <w:rPr>
                <w:rFonts w:hint="eastAsia" w:ascii="仿宋_GB2312" w:hAnsi="宋体" w:cs="Helvetica"/>
                <w:szCs w:val="22"/>
              </w:rPr>
              <w:t>提供相关</w:t>
            </w:r>
            <w:r>
              <w:rPr>
                <w:rFonts w:hint="eastAsia" w:ascii="仿宋_GB2312" w:hAnsi="宋体" w:cs="Helvetica"/>
                <w:szCs w:val="22"/>
                <w:lang w:val="en-US" w:eastAsia="zh-CN"/>
              </w:rPr>
              <w:t>人员岗位</w:t>
            </w:r>
            <w:r>
              <w:rPr>
                <w:rFonts w:hint="eastAsia" w:ascii="仿宋_GB2312" w:hAnsi="宋体" w:cs="Helvetica"/>
                <w:szCs w:val="22"/>
              </w:rPr>
              <w:t>设置文件，没有提</w:t>
            </w:r>
            <w:r>
              <w:rPr>
                <w:rFonts w:hint="eastAsia" w:ascii="仿宋_GB2312" w:hAnsi="宋体" w:cs="宋体"/>
              </w:rPr>
              <w:t>供的扣3分；</w:t>
            </w:r>
            <w:r>
              <w:rPr>
                <w:rFonts w:hint="eastAsia" w:ascii="仿宋_GB2312" w:hAnsi="宋体" w:cs="宋体"/>
                <w:lang w:val="en-US" w:eastAsia="zh-CN"/>
              </w:rPr>
              <w:t>岗位</w:t>
            </w:r>
            <w:r>
              <w:rPr>
                <w:rFonts w:hint="eastAsia" w:ascii="仿宋_GB2312" w:hAnsi="宋体" w:cs="宋体"/>
              </w:rPr>
              <w:t>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2.2</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Helvetica"/>
              </w:rPr>
              <w:t>岗位人员及职责清晰明确。至少包括：</w:t>
            </w:r>
            <w:r>
              <w:rPr>
                <w:rFonts w:hint="eastAsia" w:ascii="仿宋_GB2312" w:hAnsi="宋体" w:cs="宋体"/>
              </w:rPr>
              <w:t>食品安全管理员、采购</w:t>
            </w:r>
            <w:r>
              <w:rPr>
                <w:rFonts w:hint="eastAsia" w:ascii="仿宋_GB2312" w:hAnsi="宋体" w:cs="Helvetica"/>
              </w:rPr>
              <w:t>查验、</w:t>
            </w:r>
            <w:r>
              <w:rPr>
                <w:rFonts w:hint="eastAsia" w:ascii="仿宋_GB2312" w:hAnsi="宋体" w:cs="Helvetica"/>
                <w:lang w:val="en-US" w:eastAsia="zh-CN"/>
              </w:rPr>
              <w:t>食品储存</w:t>
            </w:r>
            <w:r>
              <w:rPr>
                <w:rFonts w:hint="eastAsia" w:ascii="仿宋_GB2312" w:hAnsi="宋体" w:cs="Helvetica"/>
              </w:rPr>
              <w:t>等岗位人员及职责</w:t>
            </w:r>
            <w:r>
              <w:rPr>
                <w:rFonts w:hint="eastAsia" w:ascii="仿宋_GB2312" w:hAnsi="宋体" w:cs="宋体"/>
              </w:rPr>
              <w:t>。</w:t>
            </w:r>
          </w:p>
          <w:p>
            <w:pPr>
              <w:rPr>
                <w:rFonts w:ascii="仿宋_GB2312" w:hAnsi="宋体" w:cs="宋体"/>
                <w:b/>
                <w:bCs/>
              </w:rPr>
            </w:pPr>
            <w:r>
              <w:rPr>
                <w:rFonts w:hint="eastAsia" w:ascii="仿宋_GB2312" w:hAnsi="宋体" w:cs="宋体"/>
                <w:b/>
                <w:bCs/>
              </w:rPr>
              <w:t>评分标准：</w:t>
            </w:r>
            <w:r>
              <w:rPr>
                <w:rFonts w:hint="eastAsia" w:ascii="仿宋_GB2312" w:hAnsi="宋体" w:cs="宋体"/>
              </w:rPr>
              <w:t>职责不清的一项扣0.5分。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3</w:t>
            </w:r>
          </w:p>
          <w:p>
            <w:pPr>
              <w:jc w:val="center"/>
              <w:rPr>
                <w:rFonts w:ascii="仿宋_GB2312" w:hAnsi="宋体" w:cs="宋体"/>
                <w:b/>
                <w:bCs/>
                <w:color w:val="000000"/>
              </w:rPr>
            </w:pPr>
            <w:r>
              <w:rPr>
                <w:rFonts w:hint="eastAsia" w:ascii="仿宋_GB2312" w:hAnsi="宋体" w:cs="宋体"/>
                <w:b/>
                <w:bCs/>
                <w:color w:val="000000"/>
              </w:rPr>
              <w:t>人员管理</w:t>
            </w:r>
          </w:p>
          <w:p>
            <w:pPr>
              <w:jc w:val="center"/>
              <w:rPr>
                <w:rFonts w:ascii="仿宋_GB2312" w:hAnsi="宋体" w:cs="宋体"/>
                <w:b/>
                <w:bCs/>
                <w:color w:val="000000"/>
              </w:rPr>
            </w:pPr>
            <w:r>
              <w:rPr>
                <w:rFonts w:hint="eastAsia" w:ascii="仿宋_GB2312" w:hAnsi="宋体" w:cs="宋体"/>
                <w:b/>
                <w:bCs/>
                <w:color w:val="000000"/>
              </w:rPr>
              <w:t>（</w:t>
            </w:r>
            <w:r>
              <w:rPr>
                <w:rFonts w:hint="eastAsia" w:ascii="仿宋_GB2312" w:hAnsi="宋体" w:cs="宋体"/>
                <w:b/>
                <w:bCs/>
                <w:color w:val="000000"/>
                <w:lang w:val="en-US" w:eastAsia="zh-CN"/>
              </w:rPr>
              <w:t>20</w:t>
            </w:r>
            <w:r>
              <w:rPr>
                <w:rFonts w:hint="eastAsia" w:ascii="仿宋_GB2312" w:hAnsi="宋体" w:cs="宋体"/>
                <w:b/>
                <w:bCs/>
                <w:color w:val="000000"/>
              </w:rPr>
              <w:t>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3.1</w:t>
            </w:r>
          </w:p>
          <w:p>
            <w:pPr>
              <w:shd w:val="clear" w:color="auto" w:fill="FFFFFF"/>
              <w:spacing w:line="312" w:lineRule="atLeast"/>
              <w:jc w:val="center"/>
              <w:rPr>
                <w:rFonts w:ascii="仿宋_GB2312" w:hAnsi="宋体" w:cs="宋体"/>
                <w:color w:val="000000"/>
              </w:rPr>
            </w:pPr>
            <w:r>
              <w:rPr>
                <w:rFonts w:hint="eastAsia" w:ascii="仿宋_GB2312" w:hAnsi="宋体" w:cs="宋体"/>
                <w:color w:val="000000"/>
              </w:rPr>
              <w:t>（2分）</w:t>
            </w:r>
          </w:p>
        </w:tc>
        <w:tc>
          <w:tcPr>
            <w:tcW w:w="8115" w:type="dxa"/>
            <w:shd w:val="clear" w:color="000000" w:fill="FFFFFF"/>
            <w:vAlign w:val="center"/>
          </w:tcPr>
          <w:p>
            <w:pPr>
              <w:shd w:val="clear" w:color="auto" w:fill="FFFFFF"/>
              <w:spacing w:line="312" w:lineRule="atLeast"/>
              <w:rPr>
                <w:rFonts w:ascii="仿宋_GB2312" w:hAnsi="宋体" w:cs="宋体"/>
              </w:rPr>
            </w:pPr>
            <w:r>
              <w:rPr>
                <w:rFonts w:hint="eastAsia" w:ascii="仿宋_GB2312" w:hAnsi="宋体" w:cs="宋体"/>
                <w:b/>
                <w:bCs/>
              </w:rPr>
              <w:t>评估项目：</w:t>
            </w:r>
            <w:r>
              <w:rPr>
                <w:rFonts w:hint="eastAsia" w:ascii="仿宋_GB2312" w:hAnsi="宋体" w:cs="宋体"/>
                <w:b w:val="0"/>
                <w:bCs w:val="0"/>
                <w:lang w:val="en-US" w:eastAsia="zh-CN"/>
              </w:rPr>
              <w:t>门店</w:t>
            </w:r>
            <w:r>
              <w:rPr>
                <w:rFonts w:hint="eastAsia" w:ascii="仿宋_GB2312" w:hAnsi="宋体" w:cs="宋体"/>
                <w:b w:val="0"/>
                <w:bCs w:val="0"/>
              </w:rPr>
              <w:t>配</w:t>
            </w:r>
            <w:r>
              <w:rPr>
                <w:rFonts w:hint="eastAsia" w:ascii="仿宋_GB2312" w:hAnsi="宋体" w:cs="宋体"/>
              </w:rPr>
              <w:t>备满足要求的食品安全管理员。</w:t>
            </w:r>
          </w:p>
          <w:p>
            <w:pPr>
              <w:shd w:val="clear" w:color="auto" w:fill="FFFFFF"/>
              <w:spacing w:line="312" w:lineRule="atLeast"/>
              <w:rPr>
                <w:rFonts w:ascii="仿宋_GB2312" w:hAnsi="宋体" w:cs="宋体"/>
                <w:color w:val="000000"/>
              </w:rPr>
            </w:pPr>
            <w:r>
              <w:rPr>
                <w:rFonts w:hint="eastAsia" w:ascii="仿宋_GB2312" w:hAnsi="宋体" w:cs="宋体"/>
                <w:b/>
                <w:bCs/>
              </w:rPr>
              <w:t>评分标准：</w:t>
            </w:r>
            <w:r>
              <w:rPr>
                <w:rFonts w:hint="eastAsia" w:ascii="仿宋_GB2312" w:hAnsi="宋体" w:cs="宋体"/>
              </w:rPr>
              <w:t>没有配备或食品安全管理员不在岗的，扣2分；对食品安全管理员现场提问，不能回答食品安全相关问题的，扣1分。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hint="eastAsia"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hint="eastAsia" w:ascii="仿宋_GB2312" w:hAnsi="宋体" w:cs="宋体"/>
                <w:color w:val="000000"/>
                <w:lang w:val="en-US" w:eastAsia="zh-CN"/>
              </w:rPr>
            </w:pPr>
            <w:r>
              <w:rPr>
                <w:rFonts w:hint="eastAsia" w:ascii="仿宋_GB2312" w:hAnsi="宋体" w:cs="宋体"/>
                <w:color w:val="000000"/>
                <w:lang w:val="en-US" w:eastAsia="zh-CN"/>
              </w:rPr>
              <w:t>3.2</w:t>
            </w:r>
          </w:p>
          <w:p>
            <w:pPr>
              <w:shd w:val="clear" w:color="auto" w:fill="FFFFFF"/>
              <w:spacing w:line="312" w:lineRule="atLeast"/>
              <w:jc w:val="center"/>
              <w:rPr>
                <w:rFonts w:hint="default" w:ascii="仿宋_GB2312" w:hAnsi="宋体" w:eastAsia="宋体" w:cs="宋体"/>
                <w:color w:val="000000"/>
                <w:lang w:val="en-US" w:eastAsia="zh-CN"/>
              </w:rPr>
            </w:pPr>
            <w:r>
              <w:rPr>
                <w:rFonts w:hint="eastAsia" w:ascii="仿宋_GB2312" w:hAnsi="宋体" w:cs="宋体"/>
                <w:color w:val="000000"/>
                <w:lang w:val="en-US" w:eastAsia="zh-CN"/>
              </w:rPr>
              <w:t>（2分）</w:t>
            </w:r>
          </w:p>
        </w:tc>
        <w:tc>
          <w:tcPr>
            <w:tcW w:w="8115" w:type="dxa"/>
            <w:shd w:val="clear" w:color="000000" w:fill="FFFFFF"/>
            <w:vAlign w:val="center"/>
          </w:tcPr>
          <w:p>
            <w:pPr>
              <w:shd w:val="clear" w:color="auto" w:fill="FFFFFF"/>
              <w:spacing w:line="312" w:lineRule="atLeast"/>
              <w:rPr>
                <w:rFonts w:hint="eastAsia" w:ascii="仿宋_GB2312" w:hAnsi="宋体" w:cs="宋体"/>
                <w:b w:val="0"/>
                <w:bCs w:val="0"/>
                <w:lang w:val="en-US" w:eastAsia="zh-CN"/>
              </w:rPr>
            </w:pPr>
            <w:r>
              <w:rPr>
                <w:rFonts w:hint="eastAsia" w:ascii="仿宋_GB2312" w:hAnsi="宋体" w:cs="宋体"/>
                <w:b/>
                <w:bCs/>
              </w:rPr>
              <w:t>评估项目：</w:t>
            </w:r>
            <w:r>
              <w:rPr>
                <w:rFonts w:hint="eastAsia" w:ascii="仿宋_GB2312" w:hAnsi="宋体" w:cs="宋体"/>
                <w:b w:val="0"/>
                <w:bCs w:val="0"/>
                <w:lang w:val="en-US" w:eastAsia="zh-CN"/>
              </w:rPr>
              <w:t>食品安全员应定期对门店的食品安全状况进行自查，并保留自查记录。</w:t>
            </w:r>
          </w:p>
          <w:p>
            <w:pPr>
              <w:shd w:val="clear" w:color="auto" w:fill="FFFFFF"/>
              <w:spacing w:line="312" w:lineRule="atLeast"/>
              <w:rPr>
                <w:rFonts w:hint="default" w:ascii="仿宋_GB2312" w:hAnsi="宋体" w:cs="宋体"/>
                <w:b/>
                <w:bCs/>
                <w:lang w:val="en-US" w:eastAsia="zh-CN"/>
              </w:rPr>
            </w:pPr>
            <w:r>
              <w:rPr>
                <w:rFonts w:hint="eastAsia" w:ascii="仿宋_GB2312" w:hAnsi="宋体" w:cs="宋体"/>
                <w:b/>
                <w:bCs/>
                <w:lang w:val="en-US" w:eastAsia="zh-CN"/>
              </w:rPr>
              <w:t>评分标准：</w:t>
            </w:r>
            <w:r>
              <w:rPr>
                <w:rFonts w:hint="eastAsia" w:ascii="仿宋_GB2312" w:hAnsi="宋体" w:cs="宋体"/>
                <w:b w:val="0"/>
                <w:bCs w:val="0"/>
                <w:lang w:val="en-US" w:eastAsia="zh-CN"/>
              </w:rPr>
              <w:t>未进行自查的，扣2分；自查记录不符合实际情况的，扣1分。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hint="eastAsia" w:ascii="仿宋_GB2312" w:hAnsi="宋体" w:eastAsia="宋体" w:cs="宋体"/>
                <w:color w:val="000000"/>
                <w:szCs w:val="22"/>
                <w:lang w:eastAsia="zh-CN"/>
              </w:rPr>
            </w:pPr>
            <w:r>
              <w:rPr>
                <w:rFonts w:hint="eastAsia" w:ascii="仿宋_GB2312" w:hAnsi="宋体" w:cs="宋体"/>
                <w:color w:val="000000"/>
                <w:szCs w:val="22"/>
              </w:rPr>
              <w:t>3.</w:t>
            </w:r>
            <w:r>
              <w:rPr>
                <w:rFonts w:hint="eastAsia" w:ascii="仿宋_GB2312" w:hAnsi="宋体" w:cs="宋体"/>
                <w:color w:val="000000"/>
                <w:szCs w:val="22"/>
                <w:lang w:val="en-US" w:eastAsia="zh-CN"/>
              </w:rPr>
              <w:t>3</w:t>
            </w:r>
          </w:p>
          <w:p>
            <w:pPr>
              <w:shd w:val="clear" w:color="auto" w:fill="FFFFFF"/>
              <w:spacing w:line="312" w:lineRule="atLeast"/>
              <w:jc w:val="center"/>
              <w:rPr>
                <w:rFonts w:hint="eastAsia" w:ascii="仿宋_GB2312" w:hAnsi="宋体" w:eastAsia="宋体" w:cs="宋体"/>
                <w:color w:val="000000"/>
                <w:sz w:val="24"/>
                <w:szCs w:val="22"/>
                <w:lang w:val="en-US" w:eastAsia="zh-CN" w:bidi="ar-SA"/>
              </w:rPr>
            </w:pPr>
            <w:r>
              <w:rPr>
                <w:rFonts w:hint="eastAsia" w:ascii="仿宋_GB2312" w:hAnsi="宋体" w:cs="宋体"/>
                <w:color w:val="000000"/>
                <w:szCs w:val="22"/>
              </w:rPr>
              <w:t>（2分）</w:t>
            </w:r>
          </w:p>
        </w:tc>
        <w:tc>
          <w:tcPr>
            <w:tcW w:w="8115" w:type="dxa"/>
            <w:shd w:val="clear" w:color="000000" w:fill="FFFFFF"/>
            <w:vAlign w:val="center"/>
          </w:tcPr>
          <w:p>
            <w:pPr>
              <w:shd w:val="clear" w:color="auto" w:fill="FFFFFF"/>
              <w:spacing w:line="312" w:lineRule="atLeast"/>
              <w:rPr>
                <w:rFonts w:ascii="仿宋_GB2312" w:hAnsi="宋体" w:cs="Helvetica"/>
              </w:rPr>
            </w:pPr>
            <w:r>
              <w:rPr>
                <w:rFonts w:hint="eastAsia" w:ascii="仿宋_GB2312" w:hAnsi="宋体" w:cs="宋体"/>
                <w:b/>
                <w:bCs/>
              </w:rPr>
              <w:t>评估项目：</w:t>
            </w:r>
            <w:r>
              <w:rPr>
                <w:rFonts w:hint="eastAsia" w:ascii="仿宋_GB2312" w:hAnsi="宋体" w:cs="Helvetica"/>
                <w:color w:val="000000"/>
              </w:rPr>
              <w:t>食品安全管理员每年参加</w:t>
            </w:r>
            <w:r>
              <w:rPr>
                <w:rFonts w:hint="eastAsia" w:ascii="仿宋_GB2312" w:hAnsi="宋体" w:cs="Helvetica"/>
              </w:rPr>
              <w:t>继续教</w:t>
            </w:r>
            <w:r>
              <w:rPr>
                <w:rFonts w:hint="eastAsia" w:ascii="仿宋_GB2312" w:hAnsi="宋体" w:cs="Helvetica"/>
                <w:color w:val="000000"/>
                <w:szCs w:val="22"/>
              </w:rPr>
              <w:t>育培训时间不少</w:t>
            </w:r>
            <w:r>
              <w:rPr>
                <w:rFonts w:hint="eastAsia" w:ascii="仿宋_GB2312" w:hAnsi="宋体" w:cs="Helvetica"/>
                <w:color w:val="000000"/>
                <w:szCs w:val="22"/>
                <w:lang w:eastAsia="zh-CN"/>
              </w:rPr>
              <w:t>于</w:t>
            </w:r>
            <w:r>
              <w:rPr>
                <w:rFonts w:hint="eastAsia" w:ascii="仿宋_GB2312" w:hAnsi="宋体" w:cs="Helvetica"/>
                <w:color w:val="000000"/>
                <w:szCs w:val="22"/>
              </w:rPr>
              <w:t>8学时。</w:t>
            </w:r>
          </w:p>
          <w:p>
            <w:pPr>
              <w:shd w:val="clear" w:color="auto" w:fill="FFFFFF"/>
              <w:spacing w:line="312" w:lineRule="atLeast"/>
              <w:rPr>
                <w:rFonts w:hint="eastAsia" w:ascii="仿宋_GB2312" w:hAnsi="宋体" w:eastAsia="宋体" w:cs="宋体"/>
                <w:sz w:val="24"/>
                <w:szCs w:val="24"/>
                <w:lang w:val="en-US" w:eastAsia="zh-CN" w:bidi="ar-SA"/>
              </w:rPr>
            </w:pPr>
            <w:r>
              <w:rPr>
                <w:rFonts w:hint="eastAsia" w:ascii="仿宋_GB2312" w:hAnsi="宋体" w:cs="宋体"/>
                <w:b/>
                <w:bCs/>
              </w:rPr>
              <w:t>评分标准：</w:t>
            </w:r>
            <w:r>
              <w:rPr>
                <w:rFonts w:hint="eastAsia" w:ascii="仿宋_GB2312" w:hAnsi="宋体" w:cs="宋体"/>
              </w:rPr>
              <w:t>提供培训记录表或相关证明，培训时间不足</w:t>
            </w:r>
            <w:r>
              <w:rPr>
                <w:rFonts w:hint="eastAsia" w:ascii="仿宋_GB2312" w:hAnsi="宋体" w:cs="Helvetica"/>
              </w:rPr>
              <w:t>8学时</w:t>
            </w:r>
            <w:r>
              <w:rPr>
                <w:rFonts w:hint="eastAsia" w:ascii="仿宋_GB2312" w:hAnsi="宋体" w:cs="宋体"/>
              </w:rPr>
              <w:t>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hint="eastAsia" w:ascii="仿宋_GB2312" w:hAnsi="宋体" w:eastAsia="宋体" w:cs="宋体"/>
                <w:lang w:eastAsia="zh-CN"/>
              </w:rPr>
            </w:pPr>
            <w:r>
              <w:rPr>
                <w:rFonts w:hint="eastAsia" w:ascii="仿宋_GB2312" w:hAnsi="宋体" w:cs="宋体"/>
              </w:rPr>
              <w:t>3.</w:t>
            </w:r>
            <w:r>
              <w:rPr>
                <w:rFonts w:hint="eastAsia" w:ascii="仿宋_GB2312" w:hAnsi="宋体" w:cs="宋体"/>
                <w:lang w:val="en-US" w:eastAsia="zh-CN"/>
              </w:rPr>
              <w:t>4</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从事接触直接入口食品工作（清洁操作区内的加工制作，包括切菜、配菜、烹饪</w:t>
            </w:r>
            <w:r>
              <w:rPr>
                <w:rFonts w:hint="eastAsia" w:ascii="仿宋_GB2312" w:hAnsi="宋体" w:cs="宋体"/>
              </w:rPr>
              <w:t>、传菜、餐饮具清洗消毒）的从业人员（包括新参加和临时参加工作的从业人员，下同）持有效健康证。</w:t>
            </w:r>
          </w:p>
          <w:p>
            <w:pPr>
              <w:rPr>
                <w:rFonts w:ascii="仿宋_GB2312" w:hAnsi="宋体" w:cs="宋体"/>
              </w:rPr>
            </w:pPr>
            <w:r>
              <w:rPr>
                <w:rFonts w:hint="eastAsia" w:ascii="仿宋_GB2312" w:hAnsi="宋体" w:cs="宋体"/>
                <w:b/>
                <w:bCs/>
              </w:rPr>
              <w:t>评分标准：</w:t>
            </w:r>
            <w:r>
              <w:rPr>
                <w:rFonts w:hint="eastAsia" w:ascii="仿宋_GB2312" w:hAnsi="宋体" w:cs="宋体"/>
              </w:rPr>
              <w:t>抽查4名人员，无健康证或健康证过期的，每人扣0.5分。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hint="eastAsia" w:ascii="仿宋_GB2312" w:hAnsi="宋体" w:eastAsia="宋体" w:cs="宋体"/>
                <w:lang w:eastAsia="zh-CN"/>
              </w:rPr>
            </w:pPr>
            <w:r>
              <w:rPr>
                <w:rFonts w:hint="eastAsia" w:ascii="仿宋_GB2312" w:hAnsi="宋体" w:cs="宋体"/>
              </w:rPr>
              <w:t>3.</w:t>
            </w:r>
            <w:r>
              <w:rPr>
                <w:rFonts w:hint="eastAsia" w:ascii="仿宋_GB2312" w:hAnsi="宋体" w:cs="宋体"/>
                <w:lang w:val="en-US" w:eastAsia="zh-CN"/>
              </w:rPr>
              <w:t>5</w:t>
            </w:r>
          </w:p>
          <w:p>
            <w:pPr>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落实</w:t>
            </w:r>
            <w:r>
              <w:rPr>
                <w:rFonts w:hint="eastAsia" w:ascii="仿宋_GB2312" w:hAnsi="宋体" w:cs="宋体"/>
                <w:color w:val="000000"/>
                <w:lang w:eastAsia="zh-CN"/>
              </w:rPr>
              <w:t>从业人员健康管理</w:t>
            </w:r>
            <w:r>
              <w:rPr>
                <w:rFonts w:hint="eastAsia" w:ascii="仿宋_GB2312" w:hAnsi="宋体" w:cs="宋体"/>
                <w:color w:val="000000"/>
                <w:lang w:val="en-US" w:eastAsia="zh-CN"/>
              </w:rPr>
              <w:t>制度</w:t>
            </w:r>
            <w:r>
              <w:rPr>
                <w:rFonts w:hint="eastAsia" w:ascii="仿宋_GB2312" w:hAnsi="宋体" w:cs="宋体"/>
              </w:rPr>
              <w:t>，接触直接入口食品工作的从业人员无有碍食品安全疾病</w:t>
            </w:r>
            <w:r>
              <w:rPr>
                <w:rFonts w:hint="eastAsia" w:ascii="仿宋_GB2312" w:hAnsi="宋体" w:cs="宋体"/>
                <w:lang w:eastAsia="zh-CN"/>
              </w:rPr>
              <w:t>，</w:t>
            </w:r>
            <w:r>
              <w:rPr>
                <w:rFonts w:hint="eastAsia" w:ascii="仿宋_GB2312" w:hAnsi="宋体" w:cs="宋体"/>
                <w:lang w:val="en-US" w:eastAsia="zh-CN"/>
              </w:rPr>
              <w:t>应提供相应的晨检记录</w:t>
            </w:r>
            <w:r>
              <w:rPr>
                <w:rFonts w:hint="eastAsia" w:ascii="仿宋_GB2312" w:hAnsi="宋体" w:cs="宋体"/>
              </w:rPr>
              <w:t>。</w:t>
            </w:r>
          </w:p>
          <w:p>
            <w:pPr>
              <w:rPr>
                <w:rFonts w:ascii="仿宋_GB2312" w:hAnsi="宋体" w:cs="宋体"/>
              </w:rPr>
            </w:pPr>
            <w:r>
              <w:rPr>
                <w:rFonts w:hint="eastAsia" w:ascii="仿宋_GB2312" w:hAnsi="宋体" w:cs="宋体"/>
                <w:b/>
                <w:bCs/>
              </w:rPr>
              <w:t>评分标准：</w:t>
            </w:r>
            <w:r>
              <w:rPr>
                <w:rFonts w:hint="eastAsia" w:ascii="仿宋_GB2312" w:hAnsi="宋体" w:cs="宋体"/>
                <w:bCs/>
              </w:rPr>
              <w:t>未</w:t>
            </w:r>
            <w:r>
              <w:rPr>
                <w:rFonts w:hint="eastAsia" w:ascii="仿宋_GB2312" w:hAnsi="宋体" w:cs="宋体"/>
              </w:rPr>
              <w:t>提供员工晨检记录的扣2分；记录不全扣1分。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hint="eastAsia" w:ascii="仿宋_GB2312" w:hAnsi="宋体" w:eastAsia="宋体" w:cs="宋体"/>
                <w:lang w:eastAsia="zh-CN"/>
              </w:rPr>
            </w:pPr>
            <w:r>
              <w:rPr>
                <w:rFonts w:hint="eastAsia" w:ascii="仿宋_GB2312" w:hAnsi="宋体" w:cs="宋体"/>
              </w:rPr>
              <w:t>3.</w:t>
            </w:r>
            <w:r>
              <w:rPr>
                <w:rFonts w:hint="eastAsia" w:ascii="仿宋_GB2312" w:hAnsi="宋体" w:cs="宋体"/>
                <w:lang w:val="en-US" w:eastAsia="zh-CN"/>
              </w:rPr>
              <w:t>6</w:t>
            </w:r>
          </w:p>
          <w:p>
            <w:pPr>
              <w:shd w:val="clear" w:color="auto" w:fill="FFFFFF"/>
              <w:spacing w:line="312" w:lineRule="atLeast"/>
              <w:jc w:val="center"/>
              <w:rPr>
                <w:rFonts w:ascii="仿宋_GB2312" w:hAnsi="宋体" w:cs="宋体"/>
              </w:rPr>
            </w:pPr>
            <w:r>
              <w:rPr>
                <w:rFonts w:hint="eastAsia" w:ascii="仿宋_GB2312" w:hAnsi="宋体" w:cs="宋体"/>
                <w:color w:val="000000"/>
              </w:rPr>
              <w:t>（5分）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员工保持良好个人卫生：1.穿戴清洁工作衣、帽，工作帽应能将头发全部遮盖住；2.不得披散头发、留长指甲、涂指甲油，佩带的饰物不得外露；3.专间及从事饮料现榨和水果拼盘制作的人员操作前除上述要求外，需戴口罩；4.员工操作前或使用卫生间、用餐、吸烟、饮水等可能会污染手部的活动后应重新洗净手部；5.接触直接入口食品的操作人员及从事饮料现榨和水果拼盘制作的人员操作前，应洗手并消毒；6.不得在食品加工区内吸烟、饮食或其他可能污染食品的行为；7.专间内从业人员离开专间时，应脱去专间专用工作服。</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hint="eastAsia" w:ascii="仿宋_GB2312" w:hAnsi="宋体" w:eastAsia="宋体" w:cs="宋体"/>
                <w:color w:val="000000"/>
                <w:szCs w:val="22"/>
                <w:lang w:eastAsia="zh-CN"/>
              </w:rPr>
            </w:pPr>
            <w:r>
              <w:rPr>
                <w:rFonts w:hint="eastAsia" w:ascii="仿宋_GB2312" w:hAnsi="宋体" w:cs="宋体"/>
                <w:color w:val="000000"/>
                <w:szCs w:val="22"/>
              </w:rPr>
              <w:t>3.</w:t>
            </w:r>
            <w:r>
              <w:rPr>
                <w:rFonts w:hint="eastAsia" w:ascii="仿宋_GB2312" w:hAnsi="宋体" w:cs="宋体"/>
                <w:color w:val="000000"/>
                <w:szCs w:val="22"/>
                <w:lang w:val="en-US" w:eastAsia="zh-CN"/>
              </w:rPr>
              <w:t>7</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食品处理区操作人员的工作服（包括衣、帽、口罩）宜为白色或浅色，应定点存放，定期更换清洗，清洁操作区与其他操作区从业人员的工作服应有明显颜色或标识区分。</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hint="eastAsia" w:ascii="仿宋_GB2312" w:hAnsi="宋体" w:eastAsia="宋体" w:cs="宋体"/>
                <w:color w:val="000000"/>
                <w:szCs w:val="22"/>
                <w:lang w:eastAsia="zh-CN"/>
              </w:rPr>
            </w:pPr>
            <w:r>
              <w:rPr>
                <w:rFonts w:hint="eastAsia" w:ascii="仿宋_GB2312" w:hAnsi="宋体" w:cs="宋体"/>
                <w:color w:val="000000"/>
                <w:szCs w:val="22"/>
              </w:rPr>
              <w:t>3.</w:t>
            </w:r>
            <w:r>
              <w:rPr>
                <w:rFonts w:hint="eastAsia" w:ascii="仿宋_GB2312" w:hAnsi="宋体" w:cs="宋体"/>
                <w:color w:val="000000"/>
                <w:szCs w:val="22"/>
                <w:lang w:val="en-US" w:eastAsia="zh-CN"/>
              </w:rPr>
              <w:t>8</w:t>
            </w:r>
          </w:p>
          <w:p>
            <w:pPr>
              <w:shd w:val="clear" w:color="auto" w:fill="FFFFFF"/>
              <w:spacing w:line="312" w:lineRule="atLeast"/>
              <w:jc w:val="center"/>
              <w:rPr>
                <w:rFonts w:ascii="仿宋_GB2312" w:hAnsi="宋体" w:eastAsia="宋体" w:cs="宋体"/>
                <w:color w:val="000000"/>
                <w:sz w:val="24"/>
                <w:szCs w:val="22"/>
                <w:lang w:val="en-US" w:eastAsia="zh-CN" w:bidi="ar-SA"/>
              </w:rPr>
            </w:pPr>
            <w:r>
              <w:rPr>
                <w:rFonts w:hint="eastAsia" w:ascii="仿宋_GB2312" w:hAnsi="宋体" w:cs="宋体"/>
                <w:color w:val="000000"/>
                <w:szCs w:val="22"/>
              </w:rPr>
              <w:t>（3分）</w:t>
            </w:r>
          </w:p>
        </w:tc>
        <w:tc>
          <w:tcPr>
            <w:tcW w:w="8115" w:type="dxa"/>
            <w:shd w:val="clear" w:color="000000" w:fill="FFFFFF"/>
            <w:vAlign w:val="center"/>
          </w:tcPr>
          <w:p>
            <w:pPr>
              <w:shd w:val="clear" w:color="auto" w:fill="FFFFFF"/>
              <w:spacing w:line="312" w:lineRule="atLeast"/>
              <w:rPr>
                <w:rFonts w:ascii="仿宋_GB2312" w:hAnsi="宋体" w:cs="Helvetica"/>
                <w:color w:val="000000"/>
              </w:rPr>
            </w:pPr>
            <w:r>
              <w:rPr>
                <w:rFonts w:hint="eastAsia" w:ascii="仿宋_GB2312" w:hAnsi="宋体" w:cs="宋体"/>
                <w:b/>
                <w:bCs/>
              </w:rPr>
              <w:t>评估项目：</w:t>
            </w:r>
            <w:r>
              <w:rPr>
                <w:rFonts w:hint="eastAsia" w:ascii="仿宋_GB2312" w:hAnsi="宋体" w:cs="宋体"/>
                <w:b w:val="0"/>
                <w:bCs w:val="0"/>
                <w:lang w:val="en-US" w:eastAsia="zh-CN"/>
              </w:rPr>
              <w:t>落实</w:t>
            </w:r>
            <w:r>
              <w:rPr>
                <w:rFonts w:hint="eastAsia" w:ascii="仿宋_GB2312" w:hAnsi="宋体" w:cs="宋体"/>
                <w:color w:val="000000"/>
                <w:lang w:eastAsia="zh-CN"/>
              </w:rPr>
              <w:t>从业人员</w:t>
            </w:r>
            <w:r>
              <w:rPr>
                <w:rFonts w:hint="eastAsia" w:ascii="仿宋_GB2312" w:hAnsi="宋体" w:cs="宋体"/>
                <w:color w:val="000000"/>
                <w:lang w:val="en-US" w:eastAsia="zh-CN"/>
              </w:rPr>
              <w:t>培训</w:t>
            </w:r>
            <w:r>
              <w:rPr>
                <w:rFonts w:hint="eastAsia" w:ascii="仿宋_GB2312" w:hAnsi="宋体" w:cs="宋体"/>
                <w:color w:val="000000"/>
                <w:lang w:eastAsia="zh-CN"/>
              </w:rPr>
              <w:t>管理</w:t>
            </w:r>
            <w:r>
              <w:rPr>
                <w:rFonts w:hint="eastAsia" w:ascii="仿宋_GB2312" w:hAnsi="宋体" w:cs="宋体"/>
                <w:color w:val="000000"/>
                <w:lang w:val="en-US" w:eastAsia="zh-CN"/>
              </w:rPr>
              <w:t>制度，</w:t>
            </w:r>
            <w:r>
              <w:rPr>
                <w:rFonts w:hint="eastAsia" w:ascii="仿宋_GB2312" w:hAnsi="宋体" w:cs="Helvetica"/>
                <w:color w:val="000000"/>
              </w:rPr>
              <w:t>制订从业人员食品安全培训计划，按计划对从业人员进行培训与考核，考核合格后方能上岗。</w:t>
            </w:r>
          </w:p>
          <w:p>
            <w:pPr>
              <w:shd w:val="clear" w:color="auto" w:fill="FFFFFF"/>
              <w:spacing w:line="312" w:lineRule="atLeast"/>
              <w:rPr>
                <w:rFonts w:ascii="仿宋_GB2312" w:hAnsi="宋体" w:eastAsia="宋体" w:cs="宋体"/>
                <w:b/>
                <w:bCs/>
                <w:sz w:val="24"/>
                <w:szCs w:val="24"/>
                <w:lang w:val="en-US" w:eastAsia="zh-CN" w:bidi="ar-SA"/>
              </w:rPr>
            </w:pPr>
            <w:r>
              <w:rPr>
                <w:rFonts w:hint="eastAsia" w:ascii="仿宋_GB2312" w:hAnsi="宋体" w:cs="宋体"/>
                <w:b/>
                <w:bCs/>
              </w:rPr>
              <w:t>评分标准：</w:t>
            </w:r>
            <w:r>
              <w:rPr>
                <w:rFonts w:hint="eastAsia" w:ascii="仿宋_GB2312" w:hAnsi="宋体" w:cs="宋体"/>
              </w:rPr>
              <w:t>无</w:t>
            </w:r>
            <w:r>
              <w:rPr>
                <w:rFonts w:hint="eastAsia" w:ascii="仿宋_GB2312" w:hAnsi="宋体" w:cs="Helvetica"/>
                <w:color w:val="000000"/>
              </w:rPr>
              <w:t>培训计划</w:t>
            </w:r>
            <w:r>
              <w:rPr>
                <w:rFonts w:hint="eastAsia" w:ascii="仿宋_GB2312" w:hAnsi="宋体" w:cs="宋体"/>
              </w:rPr>
              <w:t>扣1分</w:t>
            </w:r>
            <w:r>
              <w:rPr>
                <w:rFonts w:hint="eastAsia" w:ascii="仿宋_GB2312" w:hAnsi="宋体" w:cs="Helvetica"/>
                <w:color w:val="000000"/>
              </w:rPr>
              <w:t>，无培训记录</w:t>
            </w:r>
            <w:r>
              <w:rPr>
                <w:rFonts w:hint="eastAsia" w:ascii="仿宋_GB2312" w:hAnsi="宋体" w:cs="宋体"/>
              </w:rPr>
              <w:t>扣1分，培训记录不全扣1分；抽查2名从业人员现场提问，不能回答食品安全相关问题的，1人扣1分。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4</w:t>
            </w:r>
          </w:p>
          <w:p>
            <w:pPr>
              <w:rPr>
                <w:rFonts w:ascii="仿宋_GB2312" w:hAnsi="宋体" w:cs="宋体"/>
                <w:b/>
                <w:bCs/>
              </w:rPr>
            </w:pPr>
            <w:r>
              <w:rPr>
                <w:rFonts w:hint="eastAsia" w:ascii="仿宋_GB2312" w:hAnsi="宋体" w:cs="宋体"/>
                <w:b/>
                <w:bCs/>
              </w:rPr>
              <w:t>场所设施</w:t>
            </w:r>
          </w:p>
          <w:p>
            <w:pPr>
              <w:jc w:val="center"/>
              <w:rPr>
                <w:rFonts w:ascii="仿宋_GB2312" w:hAnsi="宋体" w:cs="宋体"/>
                <w:b/>
                <w:bCs/>
              </w:rPr>
            </w:pPr>
            <w:r>
              <w:rPr>
                <w:rFonts w:hint="eastAsia" w:ascii="仿宋_GB2312" w:hAnsi="宋体" w:cs="宋体"/>
                <w:b/>
                <w:bCs/>
              </w:rPr>
              <w:t>设备</w:t>
            </w:r>
          </w:p>
          <w:p>
            <w:pPr>
              <w:jc w:val="center"/>
              <w:rPr>
                <w:rFonts w:ascii="仿宋_GB2312" w:hAnsi="宋体" w:cs="宋体"/>
                <w:b/>
                <w:bCs/>
                <w:color w:val="000000"/>
              </w:rPr>
            </w:pPr>
            <w:r>
              <w:rPr>
                <w:rFonts w:hint="eastAsia" w:ascii="仿宋_GB2312" w:hAnsi="宋体" w:cs="宋体"/>
                <w:b/>
                <w:bCs/>
              </w:rPr>
              <w:t>（35分）</w:t>
            </w: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4.1</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加工经营场所内不得圈养、宰杀活的禽畜类动物。</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4.2</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建筑结构应坚固耐用、易于维修、易于保持清洁，能避免有害动物的侵入和栖息。</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4.3</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墙壁、天花板、门窗等设施无霉变、污渍、脱落，地面无大量积水及残渣。</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4.4</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spacing w:line="320" w:lineRule="exact"/>
              <w:rPr>
                <w:rFonts w:ascii="仿宋_GB2312" w:hAnsi="宋体"/>
              </w:rPr>
            </w:pPr>
            <w:r>
              <w:rPr>
                <w:rFonts w:hint="eastAsia" w:ascii="仿宋_GB2312" w:hAnsi="宋体" w:cs="宋体"/>
                <w:b/>
                <w:bCs/>
              </w:rPr>
              <w:t>评估项目：</w:t>
            </w:r>
            <w:r>
              <w:rPr>
                <w:rFonts w:hint="eastAsia" w:ascii="仿宋_GB2312" w:hAnsi="宋体" w:cs="宋体"/>
              </w:rPr>
              <w:t>食品处理区应设置在室内。加工场所与生活区严格分开，按原料进入、原料加工、半成品加工、成品供应的顺序予以布局，紧密衔接。</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4.5</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食品处理区应设置专用的粗加工（全部使用半成品的可不设置）、烹饪、餐用具清洗消毒的场所，并应设置原料和（或）半成品贮存、切配及备餐的场所。</w:t>
            </w:r>
          </w:p>
          <w:p>
            <w:pPr>
              <w:rPr>
                <w:rFonts w:ascii="仿宋_GB2312" w:hAnsi="宋体" w:cs="宋体"/>
                <w:color w:val="000000"/>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4.6</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鲜榨果蔬汁、果蔬拼盘、植物性冷食类食品（不含非发酵豆制品）等的加工制作，对预包装食品进行拆封、装盘、调味等简单加工制作后即供应的，调制供消费者直接食用的调味料，应设置相应的专用操作场所。</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4.7</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（1分）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清洁工具和消毒用品的存放应设置独立存放隔间或区域，不会污染食品及其加工制作过程。</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4.8</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bCs/>
                <w:sz w:val="24"/>
                <w:szCs w:val="24"/>
              </w:rPr>
              <w:t>1.</w:t>
            </w:r>
            <w:r>
              <w:rPr>
                <w:rFonts w:hint="eastAsia" w:ascii="仿宋_GB2312" w:hAnsi="宋体" w:cs="宋体"/>
                <w:sz w:val="24"/>
                <w:szCs w:val="24"/>
              </w:rPr>
              <w:t>粗加工、切配、烹饪和餐用具清洗消毒等需经常冲洗的场所及易潮湿的场所，其地面应易于清洗、防滑，并应有一定的排水坡度及排水系统。2.排水沟应有坡度、保持通畅、便于清洗，沟内不应设置其他管路，侧面和底面接合处应有一定弧度，并设有可拆卸的盖板。3.排水的流向应由高清洁操作区流向低清洁操作区，并有防止污水逆流的设计。</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4.9</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食品处理区墙壁需铺设1.5m以上的墙裙，各类专间的墙裙应铺设到墙顶；门、窗应装配严密，与外界直接相通的可开启的窗应设有易于拆洗且不生锈的防蝇纱网；与外界直接相通的门应能自动关闭。</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4.10</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就餐场所窗户应为封闭式或装有防蝇防尘设施，门应设有防蝇防尘设施。</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4.11</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水蒸汽较多场所的天花板应有适当坡度。清洁操作区、准清洁操作区及其他半成品、成品暴露场所屋顶若为不平整的结构或有管道通过，应加设平整易于清洁的吊顶。</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更衣场所与加工经营场所应处于同一建筑物内，为独立隔间且处于食品处理区入口处。更衣场所应有足够大小的空间、足够数量的更衣设施和适当的照明设施，在门口处应设有洗手消毒设施。</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4.13</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食品处理区内应设置足够数量的洗手消毒设施，洗手消毒设施包括：清洗、消毒用品和干手用品或设施，设有洗手消毒方法标识，洗手设施的排水应具有防止逆流、有害动物侵入及臭味产生的装置。</w:t>
            </w:r>
          </w:p>
          <w:p>
            <w:pPr>
              <w:pStyle w:val="6"/>
              <w:rPr>
                <w:rFonts w:ascii="仿宋_GB2312" w:hAnsi="宋体" w:cs="宋体"/>
                <w:sz w:val="24"/>
                <w:szCs w:val="24"/>
              </w:rPr>
            </w:pPr>
            <w:r>
              <w:rPr>
                <w:rFonts w:hint="eastAsia" w:ascii="仿宋_GB2312" w:hAnsi="宋体" w:cs="宋体"/>
                <w:b/>
                <w:bCs/>
                <w:sz w:val="24"/>
              </w:rPr>
              <w:t>评分标准：</w:t>
            </w:r>
            <w:r>
              <w:rPr>
                <w:rFonts w:hint="eastAsia" w:ascii="仿宋_GB2312" w:hAnsi="宋体"/>
                <w:sz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4.14</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spacing w:line="320" w:lineRule="exact"/>
              <w:rPr>
                <w:rFonts w:ascii="仿宋_GB2312" w:hAnsi="宋体" w:cs="宋体"/>
                <w:lang w:val="zh-CN"/>
              </w:rPr>
            </w:pPr>
            <w:r>
              <w:rPr>
                <w:rFonts w:hint="eastAsia" w:ascii="仿宋_GB2312" w:hAnsi="宋体" w:cs="宋体"/>
                <w:b/>
                <w:bCs/>
              </w:rPr>
              <w:t>评估项目：</w:t>
            </w:r>
            <w:r>
              <w:rPr>
                <w:rFonts w:hint="eastAsia" w:ascii="仿宋_GB2312" w:hAnsi="宋体"/>
              </w:rPr>
              <w:t>接触直接入口食品（包括冷食类、生食类食品和自制饮品）、</w:t>
            </w:r>
            <w:r>
              <w:rPr>
                <w:rFonts w:hint="eastAsia" w:ascii="仿宋_GB2312" w:hAnsi="宋体" w:cs="宋体"/>
              </w:rPr>
              <w:t>制作现榨饮料、食用冰及清洗不削皮的水果等用水</w:t>
            </w:r>
            <w:r>
              <w:rPr>
                <w:rFonts w:hint="eastAsia" w:ascii="仿宋_GB2312" w:hAnsi="宋体"/>
              </w:rPr>
              <w:t>，须</w:t>
            </w:r>
            <w:r>
              <w:rPr>
                <w:rFonts w:hint="eastAsia" w:ascii="仿宋_GB2312" w:hAnsi="宋体" w:cs="宋体"/>
                <w:lang w:val="zh-CN"/>
              </w:rPr>
              <w:t>经过水净化设施处理或使用直接饮用水。</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w:t>
            </w:r>
            <w:r>
              <w:rPr>
                <w:rFonts w:hint="eastAsia" w:ascii="仿宋_GB2312" w:hAnsi="宋体" w:cs="宋体"/>
                <w:sz w:val="24"/>
                <w:lang w:val="zh-CN"/>
              </w:rPr>
              <w:t>水净化设施的运行维护及管理情况，</w:t>
            </w:r>
            <w:r>
              <w:rPr>
                <w:rFonts w:hint="eastAsia" w:ascii="仿宋_GB2312" w:hAnsi="宋体" w:cs="Times New Roman"/>
                <w:sz w:val="24"/>
                <w:szCs w:val="24"/>
              </w:rPr>
              <w:t>发现</w:t>
            </w:r>
            <w:r>
              <w:rPr>
                <w:rFonts w:hint="eastAsia" w:ascii="仿宋_GB2312" w:hAnsi="宋体" w:cs="宋体"/>
                <w:sz w:val="24"/>
                <w:szCs w:val="24"/>
              </w:rPr>
              <w:t>违反扣1分。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3"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4.15</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 xml:space="preserve">食品处理区应保持良好通风，烹饪场所应采用机械排风，产生油烟的应加设油烟过滤排气装置，排气装置过滤器应清洁干净。 </w:t>
            </w:r>
          </w:p>
          <w:p>
            <w:pPr>
              <w:pStyle w:val="6"/>
              <w:rPr>
                <w:rFonts w:ascii="仿宋_GB2312" w:hAnsi="宋体" w:cs="宋体"/>
                <w:sz w:val="24"/>
                <w:szCs w:val="24"/>
              </w:rPr>
            </w:pPr>
            <w:r>
              <w:rPr>
                <w:rFonts w:hint="eastAsia" w:ascii="仿宋_GB2312" w:hAnsi="宋体" w:cs="宋体"/>
                <w:b/>
                <w:bCs/>
                <w:sz w:val="24"/>
              </w:rPr>
              <w:t>评分标准：</w:t>
            </w:r>
            <w:r>
              <w:rPr>
                <w:rFonts w:hint="eastAsia" w:ascii="仿宋_GB2312" w:hAnsi="宋体"/>
                <w:sz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4.16</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sz w:val="24"/>
                <w:szCs w:val="24"/>
              </w:rPr>
            </w:pPr>
            <w:r>
              <w:rPr>
                <w:rFonts w:hint="eastAsia" w:ascii="仿宋_GB2312" w:hAnsi="宋体" w:cs="宋体"/>
                <w:b/>
                <w:bCs/>
                <w:sz w:val="24"/>
                <w:szCs w:val="24"/>
              </w:rPr>
              <w:t>评估项目：</w:t>
            </w:r>
            <w:r>
              <w:rPr>
                <w:rFonts w:hint="eastAsia" w:ascii="仿宋_GB2312" w:hAnsi="宋体"/>
                <w:sz w:val="24"/>
                <w:szCs w:val="24"/>
              </w:rPr>
              <w:t>加工经营场所光源不改变所观察食品的天然颜色，安装在暴露食品正上方的照明设施使用防护罩或防暴照明设施。</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4.17</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排水沟出口篦子缝隙间距或网眼孔径小于10mm，通风口、换气窗外安装的防虫筛网孔径不小于16目，以防鼠类等害虫侵入。</w:t>
            </w:r>
          </w:p>
          <w:p>
            <w:pPr>
              <w:spacing w:line="320" w:lineRule="exact"/>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4.18</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定期进行除虫灭害工作，防止害虫孳生，保留消杀记录。除虫灭害工作不得在食品加工操作时进行，实施时对各种食品应有保护措施。并与有资质的消杀公司签订消杀合约。</w:t>
            </w:r>
          </w:p>
          <w:p>
            <w:pPr>
              <w:pStyle w:val="6"/>
              <w:rPr>
                <w:rFonts w:ascii="仿宋_GB2312" w:hAnsi="宋体" w:cs="宋体"/>
                <w:sz w:val="24"/>
              </w:rPr>
            </w:pPr>
            <w:r>
              <w:rPr>
                <w:rFonts w:hint="eastAsia" w:ascii="仿宋_GB2312" w:hAnsi="宋体" w:cs="宋体"/>
                <w:b/>
                <w:bCs/>
                <w:sz w:val="24"/>
                <w:szCs w:val="24"/>
              </w:rPr>
              <w:t>评分标准：</w:t>
            </w:r>
            <w:r>
              <w:rPr>
                <w:rFonts w:hint="eastAsia" w:ascii="仿宋_GB2312" w:hAnsi="宋体" w:cs="宋体"/>
                <w:bCs/>
                <w:sz w:val="24"/>
                <w:szCs w:val="24"/>
              </w:rPr>
              <w:t>发现有老鼠蟑螂等害虫或粪便的扣2分</w:t>
            </w:r>
            <w:r>
              <w:rPr>
                <w:rFonts w:hint="eastAsia" w:ascii="仿宋_GB2312" w:hAnsi="宋体" w:cs="宋体"/>
                <w:b/>
                <w:bCs/>
                <w:sz w:val="24"/>
                <w:szCs w:val="24"/>
              </w:rPr>
              <w:t>，</w:t>
            </w:r>
            <w:r>
              <w:rPr>
                <w:rFonts w:hint="eastAsia" w:ascii="仿宋_GB2312" w:hAnsi="宋体" w:cs="宋体"/>
                <w:bCs/>
                <w:sz w:val="24"/>
                <w:szCs w:val="24"/>
              </w:rPr>
              <w:t>没有</w:t>
            </w:r>
            <w:r>
              <w:rPr>
                <w:rFonts w:hint="eastAsia" w:ascii="仿宋_GB2312" w:hAnsi="宋体" w:cs="宋体"/>
                <w:sz w:val="24"/>
                <w:szCs w:val="24"/>
              </w:rPr>
              <w:t>提供除虫灭害消杀合同、记录，一项扣1分。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4.19</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杀虫剂、杀鼠剂及其他有毒有害物品存放应有固定的场所（或橱柜）并上锁，有明显的警示标识，并有专人保管。有毒有害物品的采购及使用应有详细记录，包括使用人、使用目的、使用区域、使用量、使用及购买时间、配制浓度等。</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4.20</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内可能产生废弃物或垃圾的场所均应设有废弃物容器。废弃物容器应与加工用容器有明显的区分标识。废弃物容器应配有盖子，专间内的废弃物容器盖子应为非手动开启式。废弃物应及时清除，清除后的容器应及时清洗，必要时进行消毒。餐厨废弃物须由有资质的单位处理，签订合同，并建立处置台账，详细记录餐厨废弃物的种类、数量、去向等情况。</w:t>
            </w:r>
          </w:p>
          <w:p>
            <w:pPr>
              <w:pStyle w:val="6"/>
              <w:rPr>
                <w:rFonts w:ascii="仿宋_GB2312" w:hAnsi="宋体"/>
                <w:sz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5</w:t>
            </w:r>
          </w:p>
          <w:p>
            <w:pPr>
              <w:jc w:val="center"/>
              <w:rPr>
                <w:rFonts w:ascii="仿宋_GB2312" w:hAnsi="宋体" w:cs="宋体"/>
                <w:b/>
                <w:bCs/>
              </w:rPr>
            </w:pPr>
            <w:r>
              <w:rPr>
                <w:rFonts w:hint="eastAsia" w:ascii="仿宋_GB2312" w:hAnsi="宋体" w:cs="宋体"/>
                <w:b/>
                <w:bCs/>
              </w:rPr>
              <w:t>索证索票（15分）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5.1</w:t>
            </w:r>
          </w:p>
          <w:p>
            <w:pPr>
              <w:shd w:val="clear" w:color="auto" w:fill="FFFFFF"/>
              <w:spacing w:line="312" w:lineRule="atLeast"/>
              <w:jc w:val="center"/>
              <w:rPr>
                <w:rFonts w:ascii="仿宋_GB2312" w:hAnsi="宋体" w:cs="宋体"/>
              </w:rPr>
            </w:pPr>
            <w:r>
              <w:rPr>
                <w:rFonts w:hint="eastAsia" w:ascii="仿宋_GB2312" w:hAnsi="宋体" w:cs="宋体"/>
                <w:color w:val="000000"/>
              </w:rPr>
              <w:t>（10分）</w:t>
            </w:r>
          </w:p>
        </w:tc>
        <w:tc>
          <w:tcPr>
            <w:tcW w:w="8115" w:type="dxa"/>
            <w:shd w:val="clear" w:color="000000" w:fill="FFFFFF"/>
            <w:vAlign w:val="center"/>
          </w:tcPr>
          <w:p>
            <w:pPr>
              <w:pStyle w:val="6"/>
              <w:rPr>
                <w:rFonts w:ascii="仿宋_GB2312" w:hAnsi="宋体"/>
                <w:color w:val="000000"/>
                <w:sz w:val="24"/>
                <w:szCs w:val="24"/>
              </w:rPr>
            </w:pPr>
            <w:r>
              <w:rPr>
                <w:rFonts w:hint="eastAsia" w:ascii="仿宋_GB2312" w:hAnsi="宋体" w:cs="宋体"/>
                <w:b/>
                <w:bCs/>
                <w:sz w:val="24"/>
                <w:szCs w:val="24"/>
              </w:rPr>
              <w:t>评估项目：</w:t>
            </w:r>
            <w:r>
              <w:rPr>
                <w:rFonts w:hint="eastAsia" w:ascii="仿宋_GB2312" w:hAnsi="宋体"/>
                <w:color w:val="000000"/>
                <w:sz w:val="24"/>
                <w:szCs w:val="24"/>
              </w:rPr>
              <w:t>落实</w:t>
            </w:r>
            <w:r>
              <w:rPr>
                <w:rFonts w:hint="eastAsia" w:ascii="仿宋_GB2312" w:hAnsi="宋体" w:cs="宋体"/>
                <w:color w:val="000000"/>
                <w:sz w:val="24"/>
                <w:szCs w:val="24"/>
              </w:rPr>
              <w:t>食品及原料，食品添加剂、食品相关产品（</w:t>
            </w:r>
            <w:r>
              <w:rPr>
                <w:rFonts w:hint="eastAsia" w:ascii="仿宋_GB2312" w:hAnsi="宋体"/>
                <w:color w:val="000000"/>
                <w:sz w:val="24"/>
                <w:szCs w:val="24"/>
              </w:rPr>
              <w:t>一次性餐具、集中式消毒餐饮具等食品用具）</w:t>
            </w:r>
            <w:r>
              <w:rPr>
                <w:rFonts w:hint="eastAsia" w:ascii="仿宋_GB2312" w:hAnsi="宋体" w:cs="宋体"/>
                <w:color w:val="000000"/>
                <w:sz w:val="24"/>
                <w:szCs w:val="24"/>
              </w:rPr>
              <w:t>索证、索票</w:t>
            </w:r>
            <w:r>
              <w:rPr>
                <w:rFonts w:hint="eastAsia" w:ascii="仿宋_GB2312" w:hAnsi="宋体"/>
                <w:color w:val="000000"/>
                <w:sz w:val="24"/>
                <w:szCs w:val="24"/>
              </w:rPr>
              <w:t>。包括加盖供应商公章的供应商营业执照、许可证、食品检验合格证明（半年内）</w:t>
            </w:r>
            <w:r>
              <w:rPr>
                <w:rFonts w:hint="eastAsia" w:ascii="仿宋_GB2312" w:hAnsi="宋体"/>
                <w:color w:val="000000"/>
                <w:sz w:val="24"/>
                <w:szCs w:val="24"/>
                <w:lang w:val="en-US" w:eastAsia="zh-CN"/>
              </w:rPr>
              <w:t>以</w:t>
            </w:r>
            <w:r>
              <w:rPr>
                <w:rFonts w:hint="eastAsia" w:ascii="仿宋_GB2312" w:hAnsi="宋体"/>
                <w:color w:val="000000"/>
                <w:sz w:val="24"/>
                <w:szCs w:val="24"/>
              </w:rPr>
              <w:t>及生产厂家</w:t>
            </w:r>
            <w:r>
              <w:rPr>
                <w:rFonts w:hint="eastAsia" w:ascii="仿宋_GB2312" w:hAnsi="宋体"/>
                <w:color w:val="000000"/>
                <w:sz w:val="24"/>
                <w:szCs w:val="24"/>
                <w:lang w:val="en-US" w:eastAsia="zh-CN"/>
              </w:rPr>
              <w:t>的</w:t>
            </w:r>
            <w:r>
              <w:rPr>
                <w:rFonts w:hint="eastAsia" w:ascii="仿宋_GB2312" w:hAnsi="宋体"/>
                <w:color w:val="000000"/>
                <w:sz w:val="24"/>
                <w:szCs w:val="24"/>
              </w:rPr>
              <w:t>营业执照和许可证。</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Cs/>
                <w:sz w:val="24"/>
                <w:szCs w:val="24"/>
              </w:rPr>
              <w:t>现场抽取5种以上食品及原料，提供加盖供应商公章有效的营业执照、许可证和产品检验合格证明。未有效提供的，每项扣1分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bCs/>
                <w:sz w:val="24"/>
                <w:szCs w:val="24"/>
              </w:rPr>
            </w:pPr>
            <w:r>
              <w:rPr>
                <w:rFonts w:hint="eastAsia" w:ascii="仿宋_GB2312" w:hAnsi="宋体" w:cs="宋体"/>
                <w:b/>
                <w:bCs/>
                <w:sz w:val="24"/>
                <w:szCs w:val="24"/>
              </w:rPr>
              <w:t>评估项目：</w:t>
            </w:r>
            <w:r>
              <w:rPr>
                <w:rFonts w:hint="eastAsia" w:ascii="仿宋_GB2312" w:hAnsi="宋体" w:cs="宋体"/>
                <w:bCs/>
                <w:sz w:val="24"/>
                <w:szCs w:val="24"/>
              </w:rPr>
              <w:t>对采购的食品进行验收并记录，验收内容包括：食品品质、感观、温度等对食品安全有影响的项目。</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宋体"/>
                <w:color w:val="000000"/>
                <w:sz w:val="24"/>
                <w:szCs w:val="24"/>
              </w:rPr>
              <w:t>没有进行验收或不能提供验收记录的扣1分；验收记录不规范的扣1分。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5.3</w:t>
            </w:r>
          </w:p>
          <w:p>
            <w:pPr>
              <w:shd w:val="clear" w:color="auto" w:fill="FFFFFF"/>
              <w:spacing w:line="312" w:lineRule="atLeast"/>
              <w:jc w:val="center"/>
              <w:rPr>
                <w:rFonts w:ascii="仿宋_GB2312" w:hAnsi="宋体" w:cs="宋体"/>
              </w:rPr>
            </w:pPr>
            <w:r>
              <w:rPr>
                <w:rFonts w:hint="eastAsia" w:ascii="仿宋_GB2312" w:hAnsi="宋体" w:cs="宋体"/>
                <w:color w:val="000000"/>
              </w:rPr>
              <w:t>（3分）</w:t>
            </w:r>
          </w:p>
          <w:p>
            <w:pPr>
              <w:shd w:val="clear" w:color="auto" w:fill="FFFFFF"/>
              <w:spacing w:line="312" w:lineRule="atLeast"/>
              <w:jc w:val="center"/>
              <w:rPr>
                <w:rFonts w:ascii="仿宋_GB2312" w:hAnsi="宋体" w:cs="宋体"/>
              </w:rPr>
            </w:pPr>
          </w:p>
        </w:tc>
        <w:tc>
          <w:tcPr>
            <w:tcW w:w="8115" w:type="dxa"/>
            <w:shd w:val="clear" w:color="000000" w:fill="FFFFFF"/>
            <w:vAlign w:val="center"/>
          </w:tcPr>
          <w:p>
            <w:pPr>
              <w:pStyle w:val="6"/>
              <w:rPr>
                <w:rFonts w:ascii="仿宋_GB2312" w:hAnsi="宋体" w:cs="宋体"/>
                <w:bCs/>
                <w:sz w:val="24"/>
                <w:szCs w:val="24"/>
              </w:rPr>
            </w:pPr>
            <w:r>
              <w:rPr>
                <w:rFonts w:hint="eastAsia" w:ascii="仿宋_GB2312" w:hAnsi="宋体" w:cs="宋体"/>
                <w:b/>
                <w:bCs/>
                <w:sz w:val="24"/>
                <w:szCs w:val="24"/>
              </w:rPr>
              <w:t>评估项目：</w:t>
            </w:r>
            <w:r>
              <w:rPr>
                <w:rFonts w:hint="eastAsia" w:ascii="仿宋_GB2312" w:hAnsi="宋体" w:cs="宋体"/>
                <w:bCs/>
                <w:sz w:val="24"/>
                <w:szCs w:val="24"/>
              </w:rPr>
              <w:t>按规定对采购的食品填写进货台账或能提供与台账相同作用的相关记录。</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Cs/>
                <w:sz w:val="24"/>
                <w:szCs w:val="24"/>
              </w:rPr>
              <w:t>未</w:t>
            </w:r>
            <w:r>
              <w:rPr>
                <w:rFonts w:hint="eastAsia" w:ascii="仿宋_GB2312" w:hAnsi="宋体" w:cs="宋体"/>
                <w:color w:val="000000"/>
                <w:sz w:val="24"/>
                <w:szCs w:val="24"/>
              </w:rPr>
              <w:t>提供台账，扣3分，台账不完整扣1分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lang w:val="en-US" w:eastAsia="zh-CN"/>
              </w:rPr>
              <w:t>6</w:t>
            </w:r>
            <w:r>
              <w:rPr>
                <w:rFonts w:hint="eastAsia" w:ascii="仿宋_GB2312" w:hAnsi="宋体" w:cs="宋体"/>
                <w:b/>
                <w:bCs/>
              </w:rPr>
              <w:t>专间管理（10分）</w:t>
            </w: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6</w:t>
            </w:r>
            <w:r>
              <w:rPr>
                <w:rFonts w:hint="eastAsia" w:ascii="仿宋_GB2312" w:hAnsi="宋体" w:cs="宋体"/>
              </w:rPr>
              <w:t>.1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制作冷食类（凉菜类）、生食类食品、裱花类糕点和备餐等应当分开设立专间。进入专间的入口处设有预进设施：含有更衣、洗手、消毒设施，进入专间的门应能够自动关闭。</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6</w:t>
            </w:r>
            <w:r>
              <w:rPr>
                <w:rFonts w:hint="eastAsia" w:ascii="仿宋_GB2312" w:hAnsi="宋体" w:cs="宋体"/>
              </w:rPr>
              <w:t>.2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专间不得设置两个以上（含两个）的门，窗户应为封闭式（传递食品用的除外），应分设有可开闭的食品传送窗口，大小以可通过传送食品的容器为准。 </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6</w:t>
            </w:r>
            <w:r>
              <w:rPr>
                <w:rFonts w:hint="eastAsia" w:ascii="仿宋_GB2312" w:hAnsi="宋体" w:cs="宋体"/>
              </w:rPr>
              <w:t>.3</w:t>
            </w:r>
          </w:p>
          <w:p>
            <w:pPr>
              <w:shd w:val="clear" w:color="auto" w:fill="FFFFFF"/>
              <w:spacing w:line="312" w:lineRule="atLeast"/>
              <w:jc w:val="center"/>
              <w:rPr>
                <w:rFonts w:ascii="仿宋_GB2312" w:hAnsi="宋体" w:cs="宋体"/>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专间内应设空气消毒设施、安装水净化设施的水池、工具消毒设施、专用冷藏设施。每餐（或每次）使用专间前，应对专间空气进行消毒，消毒方法应遵循消毒设施使用说明书要求。使用紫外线灯消毒的，应在无人加工制作时开启紫外线灯30分钟以上并做好记录。专间内温度不高于25℃，应设有独立空调设施。专间内不能有明沟，地漏带水封。</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6</w:t>
            </w:r>
            <w:r>
              <w:rPr>
                <w:rFonts w:hint="eastAsia" w:ascii="仿宋_GB2312" w:hAnsi="宋体" w:cs="宋体"/>
              </w:rPr>
              <w:t>.4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未经清洗处理的食品原料不得带入专间。专间应专用，不能存放其它无关的杂物。</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6</w:t>
            </w:r>
            <w:r>
              <w:rPr>
                <w:rFonts w:hint="eastAsia" w:ascii="仿宋_GB2312" w:hAnsi="宋体" w:cs="宋体"/>
              </w:rPr>
              <w:t>.5</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专间内应使用专用的设备、工具、容器，用前应消毒，用后应洗净并保持清洁。</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rPr>
            </w:pPr>
            <w:r>
              <w:rPr>
                <w:rFonts w:hint="eastAsia" w:ascii="仿宋_GB2312" w:hAnsi="宋体" w:cs="宋体"/>
                <w:b/>
                <w:bCs/>
                <w:lang w:val="en-US" w:eastAsia="zh-CN"/>
              </w:rPr>
              <w:t>7</w:t>
            </w:r>
            <w:r>
              <w:rPr>
                <w:rFonts w:hint="eastAsia" w:ascii="仿宋_GB2312" w:hAnsi="宋体" w:cs="宋体"/>
                <w:b/>
              </w:rPr>
              <w:t>饮料现榨及水果拼盘</w:t>
            </w:r>
          </w:p>
          <w:p>
            <w:pPr>
              <w:jc w:val="center"/>
              <w:rPr>
                <w:rFonts w:ascii="仿宋_GB2312" w:hAnsi="宋体" w:cs="宋体"/>
                <w:b/>
                <w:bCs/>
                <w:color w:val="000000"/>
              </w:rPr>
            </w:pPr>
            <w:r>
              <w:rPr>
                <w:rFonts w:hint="eastAsia" w:ascii="仿宋_GB2312" w:hAnsi="宋体" w:cs="宋体"/>
                <w:b/>
              </w:rPr>
              <w:t>（6分）</w:t>
            </w:r>
          </w:p>
        </w:tc>
        <w:tc>
          <w:tcPr>
            <w:tcW w:w="1134" w:type="dxa"/>
            <w:shd w:val="clear" w:color="000000" w:fill="FFFFFF"/>
            <w:vAlign w:val="center"/>
          </w:tcPr>
          <w:p>
            <w:pPr>
              <w:shd w:val="clear" w:color="auto" w:fill="FFFFFF"/>
              <w:spacing w:line="312" w:lineRule="atLeast"/>
              <w:jc w:val="center"/>
              <w:rPr>
                <w:rFonts w:ascii="仿宋_GB2312" w:hAnsi="宋体" w:cs="宋体"/>
                <w:color w:val="000000"/>
              </w:rPr>
            </w:pPr>
            <w:r>
              <w:rPr>
                <w:rFonts w:hint="eastAsia" w:ascii="仿宋_GB2312" w:hAnsi="宋体" w:cs="宋体"/>
                <w:color w:val="000000"/>
                <w:lang w:val="en-US" w:eastAsia="zh-CN"/>
              </w:rPr>
              <w:t>7</w:t>
            </w:r>
            <w:r>
              <w:rPr>
                <w:rFonts w:hint="eastAsia" w:ascii="仿宋_GB2312" w:hAnsi="宋体" w:cs="宋体"/>
                <w:color w:val="000000"/>
              </w:rPr>
              <w:t>.1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color w:val="000000"/>
              </w:rPr>
              <w:t>应依次分设水果清洗区、切配榨汁区、成品存放区，设置专用冷藏设施。不能有明沟，地漏带水封。冷藏设施</w:t>
            </w:r>
            <w:r>
              <w:rPr>
                <w:rFonts w:hint="eastAsia" w:ascii="仿宋_GB2312" w:hAnsi="宋体" w:cs="宋体"/>
              </w:rPr>
              <w:t>应专用。发现待加工食品有腐败变质迹象或者其他感官性状异常的，不得加工和使用。</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7</w:t>
            </w:r>
            <w:r>
              <w:rPr>
                <w:rFonts w:hint="eastAsia" w:ascii="仿宋_GB2312" w:hAnsi="宋体" w:cs="宋体"/>
              </w:rPr>
              <w:t>.2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用于饮料现榨及水果拼盘制作的设备、工具、容器应专用。每餐次使用前应消毒，用后应洗净并在专用保洁设施内存放。用于饮料现榨和水果拼盘制作的蔬菜、水果应新鲜，未经清洗处理干净的不得使用。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7</w:t>
            </w:r>
            <w:r>
              <w:rPr>
                <w:rFonts w:hint="eastAsia" w:ascii="仿宋_GB2312" w:hAnsi="宋体" w:cs="宋体"/>
              </w:rPr>
              <w:t>.3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制作现榨饮料不得掺杂、掺假及使用非食用物质。制作的现榨饮料和水果拼盘当餐不能用完的，应妥善处理，不得重复利用。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lang w:val="en-US" w:eastAsia="zh-CN"/>
              </w:rPr>
              <w:t>8</w:t>
            </w:r>
            <w:r>
              <w:rPr>
                <w:rFonts w:hint="eastAsia" w:ascii="仿宋_GB2312" w:hAnsi="宋体" w:cs="宋体"/>
                <w:b/>
                <w:bCs/>
              </w:rPr>
              <w:t>烘烤糕点（6分）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8</w:t>
            </w:r>
            <w:r>
              <w:rPr>
                <w:rFonts w:hint="eastAsia" w:ascii="仿宋_GB2312" w:hAnsi="宋体" w:cs="宋体"/>
              </w:rPr>
              <w:t>.1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依次应分设糕点制作区（全部使用半成品进行烤制的不需设）、烘烤区、冷却区（设置密闭式冷却纱柜）或冷却间。如需分装，应另设分装间，分装间的设置按专间要求进行。糕点制作区内应分别设置和面区、工具清洗区,对应的区域设置专用的工具清洗水池、蛋清洗水池和相应操作台,设置专用冷藏设备和工具保洁柜。</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8</w:t>
            </w:r>
            <w:r>
              <w:rPr>
                <w:rFonts w:hint="eastAsia" w:ascii="仿宋_GB2312" w:hAnsi="宋体" w:cs="宋体"/>
              </w:rPr>
              <w:t>.2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烘烤烤箱上方安装排烟气设施，烘烤间内要求贴浅色瓷片1.5m以上。成品</w:t>
            </w:r>
            <w:r>
              <w:rPr>
                <w:rFonts w:hint="eastAsia" w:ascii="仿宋_GB2312" w:hAnsi="宋体" w:cs="宋体"/>
              </w:rPr>
              <w:t>销售间（若有）应紧挨糕点烘烤加工间旁设置。不能有明沟，地漏带水封。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8</w:t>
            </w:r>
            <w:r>
              <w:rPr>
                <w:rFonts w:hint="eastAsia" w:ascii="仿宋_GB2312" w:hAnsi="宋体" w:cs="宋体"/>
              </w:rPr>
              <w:t>.3</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未用完的点心馅料、半成品，应冷藏或冷冻，并在规定存放期限内使用。</w:t>
            </w:r>
          </w:p>
          <w:p>
            <w:pPr>
              <w:rPr>
                <w:rFonts w:ascii="仿宋_GB2312" w:hAnsi="宋体" w:cs="宋体"/>
              </w:rPr>
            </w:pPr>
            <w:r>
              <w:rPr>
                <w:rFonts w:hint="eastAsia" w:ascii="仿宋_GB2312" w:hAnsi="宋体" w:cs="宋体"/>
                <w:b/>
                <w:bCs/>
              </w:rPr>
              <w:t>评分标准：</w:t>
            </w:r>
            <w:r>
              <w:rPr>
                <w:rFonts w:hint="eastAsia" w:ascii="仿宋_GB2312" w:hAnsi="宋体"/>
              </w:rPr>
              <w:t>现场检查发现不符合的扣1分。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lang w:val="en-US" w:eastAsia="zh-CN"/>
              </w:rPr>
              <w:t>8</w:t>
            </w:r>
            <w:r>
              <w:rPr>
                <w:rFonts w:hint="eastAsia" w:ascii="仿宋_GB2312" w:hAnsi="宋体" w:cs="宋体"/>
              </w:rPr>
              <w:t>.4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水分含量较高的含奶、蛋的点心应在高于60℃或低于8℃的条件下贮存。</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sz w:val="24"/>
              </w:rPr>
              <w:t>现场检查发现不符合的扣1分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lang w:val="en-US" w:eastAsia="zh-CN"/>
              </w:rPr>
              <w:t>9</w:t>
            </w:r>
            <w:r>
              <w:rPr>
                <w:rFonts w:hint="eastAsia" w:ascii="仿宋_GB2312" w:hAnsi="宋体" w:cs="宋体"/>
                <w:b/>
                <w:bCs/>
              </w:rPr>
              <w:t>清洗消毒（1</w:t>
            </w:r>
            <w:r>
              <w:rPr>
                <w:rFonts w:hint="eastAsia" w:ascii="仿宋_GB2312" w:hAnsi="宋体" w:cs="宋体"/>
                <w:b/>
                <w:bCs/>
                <w:lang w:val="en-US" w:eastAsia="zh-CN"/>
              </w:rPr>
              <w:t>1</w:t>
            </w:r>
            <w:r>
              <w:rPr>
                <w:rFonts w:hint="eastAsia" w:ascii="仿宋_GB2312" w:hAnsi="宋体" w:cs="宋体"/>
                <w:b/>
                <w:bCs/>
              </w:rPr>
              <w:t>分）</w:t>
            </w: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9</w:t>
            </w:r>
            <w:r>
              <w:rPr>
                <w:rFonts w:hint="eastAsia" w:ascii="仿宋_GB2312" w:hAnsi="宋体" w:cs="宋体"/>
              </w:rPr>
              <w:t>.1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餐具、食品用工具及盛放直接入口食品的容器应采用热力方法进行有效消毒（材质无法热力消毒的除外）保洁，抽检结果合格，保洁设施应有明显标识，其结构应密闭并易于清洁。餐用具保洁设施应定期清洗，保持洁净。</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现场检查发现一项不符合扣1分；抽检不合格扣2分。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9</w:t>
            </w:r>
            <w:r>
              <w:rPr>
                <w:rFonts w:hint="eastAsia" w:ascii="仿宋_GB2312" w:hAnsi="宋体" w:cs="宋体"/>
              </w:rPr>
              <w:t>.2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餐用具清洗消毒水池应专用，与食品原料、清洁用具及接触非直接入口食品的工具、容器清洗水池分开。并分餐厨垃圾区、清洗区、消毒区和保洁区。         </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9</w:t>
            </w:r>
            <w:r>
              <w:rPr>
                <w:rFonts w:hint="eastAsia" w:ascii="仿宋_GB2312" w:hAnsi="宋体" w:cs="宋体"/>
              </w:rPr>
              <w:t>.3</w:t>
            </w:r>
          </w:p>
          <w:p>
            <w:pPr>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各类清洗消毒方式设专用水池的最低数量：采用化学消毒的，至少设有3个专用水池(一洗、二消、三冲等)。采用人工清洗热力消毒的，可设置2个专用水池，均做好相应标识。                       </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9</w:t>
            </w:r>
            <w:r>
              <w:rPr>
                <w:rFonts w:hint="eastAsia" w:ascii="仿宋_GB2312" w:hAnsi="宋体" w:cs="宋体"/>
              </w:rPr>
              <w:t>.4</w:t>
            </w:r>
          </w:p>
          <w:p>
            <w:pPr>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采用自动清洗消毒设备的，消毒温度、时间等应确保消毒效果满足相关标准要求；采用化学消毒的，岗位人员应采用正确的消毒和清洗方法，所用的药物符合有效的消毒要求。</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9</w:t>
            </w:r>
            <w:r>
              <w:rPr>
                <w:rFonts w:hint="eastAsia" w:ascii="仿宋_GB2312" w:hAnsi="宋体" w:cs="宋体"/>
              </w:rPr>
              <w:t>.5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已消毒和未消毒的餐用具应分开存放，保洁柜内不得存放其他物品。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hint="eastAsia" w:ascii="仿宋_GB2312" w:hAnsi="宋体" w:cs="宋体"/>
                <w:b/>
                <w:bCs/>
              </w:rPr>
            </w:pPr>
          </w:p>
        </w:tc>
        <w:tc>
          <w:tcPr>
            <w:tcW w:w="1134" w:type="dxa"/>
            <w:shd w:val="clear" w:color="000000" w:fill="FFFFFF"/>
            <w:vAlign w:val="center"/>
          </w:tcPr>
          <w:p>
            <w:pPr>
              <w:jc w:val="center"/>
              <w:rPr>
                <w:rFonts w:hint="default" w:ascii="仿宋_GB2312" w:hAnsi="宋体" w:eastAsia="宋体" w:cs="宋体"/>
                <w:lang w:val="en-US" w:eastAsia="zh-CN"/>
              </w:rPr>
            </w:pPr>
            <w:r>
              <w:rPr>
                <w:rFonts w:hint="eastAsia" w:ascii="仿宋_GB2312" w:hAnsi="宋体" w:cs="宋体"/>
                <w:lang w:val="en-US" w:eastAsia="zh-CN"/>
              </w:rPr>
              <w:t>9.6（1分）</w:t>
            </w:r>
          </w:p>
        </w:tc>
        <w:tc>
          <w:tcPr>
            <w:tcW w:w="8115" w:type="dxa"/>
            <w:shd w:val="clear" w:color="000000" w:fill="FFFFFF"/>
            <w:vAlign w:val="center"/>
          </w:tcPr>
          <w:p>
            <w:pPr>
              <w:rPr>
                <w:rFonts w:hint="default" w:ascii="仿宋_GB2312" w:hAnsi="宋体" w:eastAsia="宋体" w:cs="宋体"/>
                <w:lang w:val="en-US" w:eastAsia="zh-CN"/>
              </w:rPr>
            </w:pPr>
            <w:r>
              <w:rPr>
                <w:rFonts w:hint="eastAsia" w:ascii="仿宋_GB2312" w:hAnsi="宋体" w:cs="宋体"/>
                <w:b/>
                <w:bCs/>
              </w:rPr>
              <w:t>评估项目：</w:t>
            </w:r>
            <w:r>
              <w:rPr>
                <w:rFonts w:hint="eastAsia" w:ascii="仿宋_GB2312" w:hAnsi="宋体" w:cs="宋体"/>
                <w:lang w:val="en-US" w:eastAsia="zh-CN"/>
              </w:rPr>
              <w:t>餐具清洗消毒保洁情况应形成记录。</w:t>
            </w:r>
          </w:p>
          <w:p>
            <w:pPr>
              <w:rPr>
                <w:rFonts w:hint="eastAsia" w:ascii="仿宋_GB2312" w:hAnsi="宋体" w:cs="宋体"/>
                <w:b/>
                <w:bCs/>
              </w:rPr>
            </w:pPr>
            <w:r>
              <w:rPr>
                <w:rFonts w:hint="eastAsia" w:ascii="仿宋_GB2312" w:hAnsi="宋体" w:cs="宋体"/>
                <w:b/>
                <w:bCs/>
              </w:rPr>
              <w:t>评分标准：</w:t>
            </w:r>
            <w:r>
              <w:rPr>
                <w:rFonts w:hint="eastAsia" w:ascii="仿宋_GB2312" w:hAnsi="宋体"/>
                <w:lang w:val="en-US" w:eastAsia="zh-CN"/>
              </w:rPr>
              <w:t>未建立操作记录的扣1分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hint="eastAsia" w:ascii="仿宋_GB2312" w:hAnsi="宋体" w:cs="宋体"/>
                <w:b/>
                <w:bCs/>
                <w:lang w:val="en-US" w:eastAsia="zh-CN"/>
              </w:rPr>
            </w:pPr>
            <w:r>
              <w:rPr>
                <w:rFonts w:hint="eastAsia" w:ascii="仿宋_GB2312" w:hAnsi="宋体" w:cs="宋体"/>
                <w:b/>
                <w:bCs/>
                <w:lang w:val="en-US" w:eastAsia="zh-CN"/>
              </w:rPr>
              <w:t>10</w:t>
            </w:r>
          </w:p>
          <w:p>
            <w:pPr>
              <w:jc w:val="center"/>
              <w:rPr>
                <w:rFonts w:ascii="仿宋_GB2312" w:hAnsi="宋体" w:cs="宋体"/>
                <w:b/>
                <w:bCs/>
              </w:rPr>
            </w:pPr>
            <w:r>
              <w:rPr>
                <w:rFonts w:hint="eastAsia" w:ascii="仿宋_GB2312" w:hAnsi="宋体" w:cs="宋体"/>
                <w:b/>
                <w:bCs/>
              </w:rPr>
              <w:t>食品添加剂管理</w:t>
            </w:r>
          </w:p>
          <w:p>
            <w:pPr>
              <w:jc w:val="center"/>
              <w:rPr>
                <w:rFonts w:ascii="仿宋_GB2312" w:hAnsi="宋体" w:cs="宋体"/>
                <w:b/>
                <w:bCs/>
              </w:rPr>
            </w:pPr>
            <w:r>
              <w:rPr>
                <w:rFonts w:hint="eastAsia" w:ascii="仿宋_GB2312" w:hAnsi="宋体" w:cs="宋体"/>
                <w:b/>
                <w:bCs/>
              </w:rPr>
              <w:t>（6分）</w:t>
            </w: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10</w:t>
            </w:r>
            <w:r>
              <w:rPr>
                <w:rFonts w:hint="eastAsia" w:ascii="仿宋_GB2312" w:hAnsi="宋体" w:cs="宋体"/>
              </w:rPr>
              <w:t>.1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按照标准规定的使用范围和使用量使用食品添加剂，不得采购、贮存和使用亚硝酸盐、</w:t>
            </w:r>
            <w:r>
              <w:rPr>
                <w:rFonts w:hint="eastAsia" w:ascii="仿宋_GB2312" w:hAnsi="宋体" w:cs="宋体"/>
                <w:color w:val="000000"/>
              </w:rPr>
              <w:t>防腐剂、乳化剂、稳定剂。</w:t>
            </w:r>
          </w:p>
          <w:p>
            <w:pPr>
              <w:rPr>
                <w:rFonts w:ascii="仿宋_GB2312" w:hAnsi="宋体" w:cs="宋体"/>
              </w:rPr>
            </w:pPr>
            <w:r>
              <w:rPr>
                <w:rFonts w:hint="eastAsia" w:ascii="仿宋_GB2312" w:hAnsi="宋体" w:cs="宋体"/>
                <w:b/>
                <w:bCs/>
              </w:rPr>
              <w:t>评分标准：</w:t>
            </w:r>
            <w:r>
              <w:rPr>
                <w:rFonts w:hint="eastAsia" w:ascii="仿宋_GB2312" w:hAnsi="宋体" w:cs="宋体"/>
                <w:bCs/>
              </w:rPr>
              <w:t>使用禁止使用添加剂或</w:t>
            </w:r>
            <w:r>
              <w:rPr>
                <w:rFonts w:hint="eastAsia" w:ascii="仿宋_GB2312" w:hAnsi="宋体" w:cs="宋体"/>
              </w:rPr>
              <w:t>滥用</w:t>
            </w:r>
            <w:r>
              <w:rPr>
                <w:rFonts w:hint="eastAsia" w:ascii="仿宋_GB2312" w:hAnsi="宋体" w:cs="宋体"/>
                <w:bCs/>
              </w:rPr>
              <w:t>的扣2分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10</w:t>
            </w:r>
            <w:r>
              <w:rPr>
                <w:rFonts w:hint="eastAsia" w:ascii="仿宋_GB2312" w:hAnsi="宋体" w:cs="宋体"/>
              </w:rPr>
              <w:t>.2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食品添加剂的存放应有固定的场所（或橱柜），标识“食品添加剂”字样，使用容器盛放拆包后的食品添加剂的，应在盛装容器上应标明食品添加剂名称，并保留原包装。</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lang w:val="en-US" w:eastAsia="zh-CN"/>
              </w:rPr>
              <w:t>10</w:t>
            </w:r>
            <w:r>
              <w:rPr>
                <w:rFonts w:hint="eastAsia" w:ascii="仿宋_GB2312" w:hAnsi="宋体" w:cs="宋体"/>
              </w:rPr>
              <w:t>.3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使用有限量使用要求的食品添加剂应采用精确的计量工具称量，并有</w:t>
            </w:r>
            <w:r>
              <w:rPr>
                <w:rFonts w:hint="eastAsia" w:ascii="仿宋_GB2312" w:hAnsi="宋体" w:cs="宋体"/>
                <w:lang w:val="en-US" w:eastAsia="zh-CN"/>
              </w:rPr>
              <w:t>食品添加剂使用</w:t>
            </w:r>
            <w:r>
              <w:rPr>
                <w:rFonts w:hint="eastAsia" w:ascii="仿宋_GB2312" w:hAnsi="宋体" w:cs="宋体"/>
              </w:rPr>
              <w:t>记录。</w:t>
            </w:r>
          </w:p>
          <w:p>
            <w:pPr>
              <w:rPr>
                <w:rFonts w:ascii="仿宋_GB2312" w:hAnsi="宋体" w:cs="宋体"/>
              </w:rPr>
            </w:pPr>
            <w:r>
              <w:rPr>
                <w:rFonts w:hint="eastAsia" w:ascii="仿宋_GB2312" w:hAnsi="宋体" w:cs="宋体"/>
                <w:b/>
                <w:bCs/>
              </w:rPr>
              <w:t>评分标准：</w:t>
            </w:r>
            <w:r>
              <w:rPr>
                <w:rFonts w:hint="eastAsia" w:ascii="仿宋_GB2312" w:hAnsi="宋体" w:cs="宋体"/>
                <w:bCs/>
              </w:rPr>
              <w:t>无计量工具或工具不</w:t>
            </w:r>
            <w:r>
              <w:rPr>
                <w:rFonts w:hint="eastAsia" w:ascii="仿宋_GB2312" w:hAnsi="宋体" w:cs="宋体"/>
              </w:rPr>
              <w:t>精确</w:t>
            </w:r>
            <w:r>
              <w:rPr>
                <w:rFonts w:hint="eastAsia" w:ascii="仿宋_GB2312" w:hAnsi="宋体" w:cs="宋体"/>
                <w:bCs/>
              </w:rPr>
              <w:t>的扣2分；</w:t>
            </w:r>
            <w:r>
              <w:rPr>
                <w:rFonts w:hint="eastAsia" w:ascii="仿宋_GB2312" w:hAnsi="宋体" w:cs="宋体"/>
              </w:rPr>
              <w:t>无记录或记录不全的扣1分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hint="eastAsia" w:ascii="仿宋_GB2312" w:hAnsi="宋体" w:eastAsia="宋体" w:cs="宋体"/>
                <w:b/>
                <w:bCs/>
                <w:lang w:eastAsia="zh-CN"/>
              </w:rPr>
            </w:pPr>
            <w:r>
              <w:rPr>
                <w:rFonts w:hint="eastAsia" w:ascii="仿宋_GB2312" w:hAnsi="宋体" w:cs="宋体"/>
                <w:b/>
                <w:bCs/>
              </w:rPr>
              <w:t>1</w:t>
            </w:r>
            <w:r>
              <w:rPr>
                <w:rFonts w:hint="eastAsia" w:ascii="仿宋_GB2312" w:hAnsi="宋体" w:cs="宋体"/>
                <w:b/>
                <w:bCs/>
                <w:lang w:val="en-US" w:eastAsia="zh-CN"/>
              </w:rPr>
              <w:t>1</w:t>
            </w:r>
          </w:p>
          <w:p>
            <w:pPr>
              <w:jc w:val="center"/>
              <w:rPr>
                <w:rFonts w:ascii="仿宋_GB2312" w:hAnsi="宋体" w:cs="宋体"/>
                <w:b/>
                <w:bCs/>
              </w:rPr>
            </w:pPr>
            <w:r>
              <w:rPr>
                <w:rFonts w:hint="eastAsia" w:ascii="仿宋_GB2312" w:hAnsi="宋体" w:cs="宋体"/>
                <w:b/>
                <w:bCs/>
              </w:rPr>
              <w:t>食品留样</w:t>
            </w:r>
          </w:p>
          <w:p>
            <w:pPr>
              <w:jc w:val="center"/>
              <w:rPr>
                <w:rFonts w:ascii="仿宋_GB2312" w:hAnsi="宋体" w:cs="宋体"/>
                <w:b/>
                <w:bCs/>
              </w:rPr>
            </w:pPr>
            <w:r>
              <w:rPr>
                <w:rFonts w:hint="eastAsia" w:ascii="仿宋_GB2312" w:hAnsi="宋体" w:cs="宋体"/>
                <w:b/>
                <w:bCs/>
              </w:rPr>
              <w:t>（5分）</w:t>
            </w: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1</w:t>
            </w:r>
            <w:r>
              <w:rPr>
                <w:rFonts w:hint="eastAsia" w:ascii="仿宋_GB2312" w:hAnsi="宋体" w:cs="宋体"/>
                <w:color w:val="000000"/>
              </w:rPr>
              <w:t>.1</w:t>
            </w:r>
          </w:p>
          <w:p>
            <w:pPr>
              <w:jc w:val="center"/>
              <w:rPr>
                <w:rFonts w:ascii="仿宋_GB2312" w:hAnsi="宋体" w:cs="宋体"/>
                <w:color w:val="000000"/>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重大活动餐饮服务单位提供的食品，每批次或餐次食品应当留样，存放于专用冷藏设施并在0℃-8℃的条件下冷藏存放48小时以上，留样专用冷藏设施应上锁，并专人负责。</w:t>
            </w:r>
          </w:p>
          <w:p>
            <w:pPr>
              <w:rPr>
                <w:rFonts w:ascii="仿宋_GB2312" w:hAnsi="宋体" w:cs="宋体"/>
              </w:rPr>
            </w:pPr>
            <w:r>
              <w:rPr>
                <w:rFonts w:hint="eastAsia" w:ascii="仿宋_GB2312" w:hAnsi="宋体" w:cs="宋体"/>
                <w:b/>
                <w:bCs/>
              </w:rPr>
              <w:t>评分标准：</w:t>
            </w:r>
            <w:r>
              <w:rPr>
                <w:rFonts w:hint="eastAsia" w:ascii="仿宋_GB2312" w:hAnsi="宋体" w:cs="宋体"/>
              </w:rPr>
              <w:t>无专用留样冰箱的扣1分，设备温度不达标的扣1分，为专人专管并上锁的扣1分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1</w:t>
            </w:r>
            <w:r>
              <w:rPr>
                <w:rFonts w:hint="eastAsia" w:ascii="仿宋_GB2312" w:hAnsi="宋体" w:cs="宋体"/>
                <w:color w:val="000000"/>
              </w:rPr>
              <w:t>.2</w:t>
            </w:r>
          </w:p>
          <w:p>
            <w:pPr>
              <w:rPr>
                <w:rFonts w:hint="eastAsia" w:ascii="仿宋_GB2312"/>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食品留样应按品种分别盛放于清洗消毒后的专用密闭容器内，留样的容器上应有餐次、食品名称、留样时间（年月日时分）、留样人</w:t>
            </w:r>
            <w:r>
              <w:rPr>
                <w:rFonts w:hint="eastAsia" w:ascii="仿宋_GB2312" w:hAnsi="宋体" w:cs="宋体"/>
                <w:lang w:eastAsia="zh-CN"/>
              </w:rPr>
              <w:t>员</w:t>
            </w:r>
            <w:bookmarkStart w:id="0" w:name="_GoBack"/>
            <w:bookmarkEnd w:id="0"/>
            <w:r>
              <w:rPr>
                <w:rFonts w:hint="eastAsia" w:ascii="仿宋_GB2312" w:hAnsi="宋体" w:cs="宋体"/>
              </w:rPr>
              <w:t>等信息，每个品种留样量不少于125g；留样记录应详细记录留样食品名称、留样量、留样时间（年月日时分）、留样人员等</w:t>
            </w:r>
            <w:r>
              <w:rPr>
                <w:rFonts w:hint="eastAsia" w:ascii="仿宋_GB2312" w:hAnsi="宋体" w:cs="宋体"/>
                <w:lang w:eastAsia="zh-CN"/>
              </w:rPr>
              <w:t>信息</w:t>
            </w:r>
            <w:r>
              <w:rPr>
                <w:rFonts w:hint="eastAsia" w:ascii="仿宋_GB2312" w:hAnsi="宋体" w:cs="宋体"/>
              </w:rPr>
              <w:t>。</w:t>
            </w:r>
          </w:p>
          <w:p>
            <w:pPr>
              <w:rPr>
                <w:rFonts w:ascii="仿宋_GB2312" w:hAnsi="宋体" w:cs="宋体"/>
              </w:rPr>
            </w:pPr>
            <w:r>
              <w:rPr>
                <w:rFonts w:hint="eastAsia" w:ascii="仿宋_GB2312" w:hAnsi="宋体" w:cs="宋体"/>
                <w:b/>
                <w:bCs/>
              </w:rPr>
              <w:t>评分标准：</w:t>
            </w:r>
            <w:r>
              <w:rPr>
                <w:rFonts w:hint="eastAsia" w:ascii="仿宋_GB2312" w:hAnsi="宋体" w:cs="宋体"/>
                <w:bCs/>
              </w:rPr>
              <w:t>少一个食品</w:t>
            </w:r>
            <w:r>
              <w:rPr>
                <w:rFonts w:hint="eastAsia" w:ascii="仿宋_GB2312" w:hAnsi="宋体"/>
              </w:rPr>
              <w:t>没留样的扣1分，留样信息不完整的，每项扣0.5分。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hint="eastAsia" w:ascii="仿宋_GB2312" w:hAnsi="宋体" w:eastAsia="宋体" w:cs="宋体"/>
                <w:b/>
                <w:bCs/>
                <w:lang w:eastAsia="zh-CN"/>
              </w:rPr>
            </w:pPr>
            <w:r>
              <w:rPr>
                <w:rFonts w:hint="eastAsia" w:ascii="仿宋_GB2312" w:hAnsi="宋体" w:cs="宋体"/>
                <w:b/>
                <w:bCs/>
              </w:rPr>
              <w:t>1</w:t>
            </w:r>
            <w:r>
              <w:rPr>
                <w:rFonts w:hint="eastAsia" w:ascii="仿宋_GB2312" w:hAnsi="宋体" w:cs="宋体"/>
                <w:b/>
                <w:bCs/>
                <w:lang w:val="en-US" w:eastAsia="zh-CN"/>
              </w:rPr>
              <w:t>2</w:t>
            </w:r>
          </w:p>
          <w:p>
            <w:pPr>
              <w:jc w:val="center"/>
              <w:rPr>
                <w:rFonts w:ascii="仿宋_GB2312" w:hAnsi="宋体" w:cs="宋体"/>
                <w:b/>
                <w:bCs/>
              </w:rPr>
            </w:pPr>
            <w:r>
              <w:rPr>
                <w:rFonts w:hint="eastAsia" w:ascii="仿宋_GB2312" w:hAnsi="宋体" w:cs="宋体"/>
                <w:b/>
                <w:bCs/>
              </w:rPr>
              <w:t>食品储存</w:t>
            </w:r>
          </w:p>
          <w:p>
            <w:pPr>
              <w:jc w:val="center"/>
              <w:rPr>
                <w:rFonts w:ascii="仿宋_GB2312" w:hAnsi="宋体" w:cs="宋体"/>
                <w:b/>
                <w:bCs/>
              </w:rPr>
            </w:pPr>
            <w:r>
              <w:rPr>
                <w:rFonts w:hint="eastAsia" w:ascii="仿宋_GB2312" w:hAnsi="宋体" w:cs="宋体"/>
                <w:b/>
                <w:bCs/>
              </w:rPr>
              <w:t>（10分）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2</w:t>
            </w:r>
            <w:r>
              <w:rPr>
                <w:rFonts w:hint="eastAsia" w:ascii="仿宋_GB2312" w:hAnsi="宋体" w:cs="宋体"/>
                <w:color w:val="000000"/>
              </w:rPr>
              <w:t>.1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食品和非食品（食品容器、包装材料、工具等物品除外）库房应分开设置。食品贮存场所、设备应保持通风、防潮、清洁，无霉斑、鼠迹、苍蝇、蟑螂等，不得存放有毒、有害物品及个人生活用品。</w:t>
            </w:r>
          </w:p>
          <w:p>
            <w:pPr>
              <w:rPr>
                <w:rFonts w:ascii="仿宋_GB2312" w:hAnsi="宋体" w:cs="宋体"/>
              </w:rPr>
            </w:pPr>
            <w:r>
              <w:rPr>
                <w:rFonts w:hint="eastAsia" w:ascii="仿宋_GB2312" w:hAnsi="宋体" w:cs="宋体"/>
                <w:b/>
                <w:bCs/>
              </w:rPr>
              <w:t>评分标准：</w:t>
            </w:r>
            <w:r>
              <w:rPr>
                <w:rFonts w:hint="eastAsia" w:ascii="仿宋_GB2312" w:hAnsi="宋体" w:cs="宋体"/>
              </w:rPr>
              <w:t>存在存放非食品的扣2分；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2</w:t>
            </w:r>
            <w:r>
              <w:rPr>
                <w:rFonts w:hint="eastAsia" w:ascii="仿宋_GB2312" w:hAnsi="宋体" w:cs="宋体"/>
                <w:color w:val="000000"/>
              </w:rPr>
              <w:t>.2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食品应当分类、分架存放，距离墙壁、地面均在10cm以上。食品原料、食品添加剂使用应遵循先进先出的原则，及时清理销毁变质和过期的原料及食品添加剂。散装食品须标示品名、采购日期、使用期限等信息。</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sz w:val="24"/>
                <w:szCs w:val="24"/>
              </w:rPr>
              <w:t>发现变质和过期食品原料及添加剂的，扣2分；未分类存放的</w:t>
            </w:r>
            <w:r>
              <w:rPr>
                <w:rFonts w:hint="eastAsia" w:ascii="仿宋_GB2312" w:hAnsi="宋体" w:cs="Times New Roman"/>
                <w:sz w:val="24"/>
                <w:szCs w:val="24"/>
              </w:rPr>
              <w:t>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cs="宋体"/>
                <w:sz w:val="24"/>
                <w:szCs w:val="24"/>
              </w:rPr>
              <w:t>散装食品</w:t>
            </w:r>
            <w:r>
              <w:rPr>
                <w:rFonts w:hint="eastAsia" w:ascii="仿宋_GB2312" w:hAnsi="宋体" w:cs="Times New Roman"/>
                <w:sz w:val="24"/>
                <w:szCs w:val="24"/>
              </w:rPr>
              <w:t>标识不规范的扣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2</w:t>
            </w:r>
            <w:r>
              <w:rPr>
                <w:rFonts w:hint="eastAsia" w:ascii="仿宋_GB2312" w:hAnsi="宋体" w:cs="宋体"/>
                <w:color w:val="000000"/>
              </w:rPr>
              <w:t>.3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冷藏、冷冻柜（库）应有明显区分标识，并有正确指示库内温度的温度计。冷藏、冷冻的温度应符合相应的温度范围要求。冷藏、冷冻柜（库）应定期除霜（不超过1cm）、清洁、校验温度（指示）计。</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2</w:t>
            </w:r>
            <w:r>
              <w:rPr>
                <w:rFonts w:hint="eastAsia" w:ascii="仿宋_GB2312" w:hAnsi="宋体" w:cs="宋体"/>
                <w:color w:val="000000"/>
              </w:rPr>
              <w:t>.4</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冷藏、冷冻贮存应做到原料、半成品、成品严格分开放置，植物性食品、动物性食品和水产品分类摆放，不得将食品堆积、挤压存放。冰箱内半成品或成品须用保鲜膜或餐盒等密封保存，防止交叉污染。</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2</w:t>
            </w:r>
            <w:r>
              <w:rPr>
                <w:rFonts w:hint="eastAsia" w:ascii="仿宋_GB2312" w:hAnsi="宋体" w:cs="宋体"/>
                <w:color w:val="000000"/>
              </w:rPr>
              <w:t>.5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Arial"/>
                <w:color w:val="000000"/>
                <w:sz w:val="24"/>
                <w:szCs w:val="24"/>
              </w:rPr>
            </w:pPr>
            <w:r>
              <w:rPr>
                <w:rFonts w:hint="eastAsia" w:ascii="仿宋_GB2312" w:hAnsi="宋体" w:cs="宋体"/>
                <w:b/>
                <w:bCs/>
                <w:sz w:val="24"/>
                <w:szCs w:val="24"/>
              </w:rPr>
              <w:t>评估项目：</w:t>
            </w:r>
            <w:r>
              <w:rPr>
                <w:rFonts w:hint="eastAsia" w:ascii="仿宋_GB2312" w:hAnsi="宋体" w:cs="Arial"/>
                <w:color w:val="000000"/>
                <w:sz w:val="24"/>
                <w:szCs w:val="24"/>
              </w:rPr>
              <w:t>建立食品采购管理台帐，内容包括：供货商信息和产品采购信息：包括名称、地址、联系方式以及配送食品的品种等。鼓励使用信息化手段，建立食品可追溯系统。</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未能提供管理台账的，扣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 xml:space="preserve"> ；采购或配送单信息不完整的，一项扣0.5分。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hint="eastAsia" w:ascii="仿宋_GB2312" w:hAnsi="宋体" w:cs="宋体"/>
                <w:b/>
                <w:bCs/>
                <w:lang w:val="en-US" w:eastAsia="zh-CN"/>
              </w:rPr>
            </w:pPr>
            <w:r>
              <w:rPr>
                <w:rFonts w:hint="eastAsia" w:ascii="仿宋_GB2312" w:hAnsi="宋体" w:cs="宋体"/>
                <w:b/>
                <w:bCs/>
              </w:rPr>
              <w:t>1</w:t>
            </w:r>
            <w:r>
              <w:rPr>
                <w:rFonts w:hint="eastAsia" w:ascii="仿宋_GB2312" w:hAnsi="宋体" w:cs="宋体"/>
                <w:b/>
                <w:bCs/>
                <w:lang w:val="en-US" w:eastAsia="zh-CN"/>
              </w:rPr>
              <w:t>3</w:t>
            </w:r>
          </w:p>
          <w:p>
            <w:pPr>
              <w:jc w:val="center"/>
              <w:rPr>
                <w:rFonts w:ascii="仿宋_GB2312" w:hAnsi="宋体" w:cs="宋体"/>
                <w:b/>
                <w:bCs/>
              </w:rPr>
            </w:pPr>
            <w:r>
              <w:rPr>
                <w:rFonts w:hint="eastAsia" w:ascii="仿宋_GB2312" w:hAnsi="宋体" w:cs="宋体"/>
                <w:b/>
                <w:bCs/>
              </w:rPr>
              <w:t>信息公示</w:t>
            </w:r>
          </w:p>
          <w:p>
            <w:pPr>
              <w:jc w:val="center"/>
              <w:rPr>
                <w:rFonts w:ascii="仿宋_GB2312" w:hAnsi="宋体" w:cs="宋体"/>
                <w:b/>
                <w:bCs/>
              </w:rPr>
            </w:pPr>
            <w:r>
              <w:rPr>
                <w:rFonts w:hint="eastAsia" w:ascii="仿宋_GB2312" w:hAnsi="宋体" w:cs="宋体"/>
                <w:b/>
                <w:bCs/>
              </w:rPr>
              <w:t>（5分）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3</w:t>
            </w:r>
            <w:r>
              <w:rPr>
                <w:rFonts w:hint="eastAsia" w:ascii="仿宋_GB2312" w:hAnsi="宋体" w:cs="宋体"/>
                <w:color w:val="000000"/>
              </w:rPr>
              <w:t>.1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在显著位置设置“食品安全信息公示栏”公示以下信息：</w:t>
            </w:r>
            <w:r>
              <w:rPr>
                <w:rFonts w:hint="eastAsia" w:ascii="仿宋_GB2312" w:hAnsi="宋体" w:cs="宋体"/>
                <w:lang w:val="en-US" w:eastAsia="zh-CN"/>
              </w:rPr>
              <w:t>门店负责人及食品安全员</w:t>
            </w:r>
            <w:r>
              <w:rPr>
                <w:rFonts w:hint="eastAsia" w:ascii="仿宋_GB2312" w:hAnsi="宋体" w:cs="宋体"/>
              </w:rPr>
              <w:t>、从业人员健康证、大宗食品原料采购信息、食品添加剂使用信息、食品安全监管信息、监督投诉电话等。</w:t>
            </w:r>
          </w:p>
          <w:p>
            <w:pPr>
              <w:rPr>
                <w:rFonts w:ascii="仿宋_GB2312" w:hAnsi="宋体" w:cs="宋体"/>
              </w:rPr>
            </w:pPr>
            <w:r>
              <w:rPr>
                <w:rFonts w:hint="eastAsia" w:ascii="仿宋_GB2312" w:hAnsi="宋体" w:cs="宋体"/>
                <w:b/>
                <w:bCs/>
              </w:rPr>
              <w:t>评分标准：</w:t>
            </w:r>
            <w:r>
              <w:rPr>
                <w:rFonts w:hint="eastAsia" w:ascii="仿宋_GB2312" w:hAnsi="宋体" w:cs="宋体"/>
                <w:bCs/>
              </w:rPr>
              <w:t>未设公示栏扣2分；</w:t>
            </w:r>
            <w:r>
              <w:rPr>
                <w:rFonts w:hint="eastAsia" w:ascii="仿宋_GB2312" w:hAnsi="宋体" w:cs="宋体"/>
              </w:rPr>
              <w:t>公示不及时、信息不完整的扣1分。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w:t>
            </w:r>
            <w:r>
              <w:rPr>
                <w:rFonts w:hint="eastAsia" w:ascii="仿宋_GB2312" w:hAnsi="宋体" w:cs="宋体"/>
                <w:color w:val="000000"/>
                <w:lang w:val="en-US" w:eastAsia="zh-CN"/>
              </w:rPr>
              <w:t>3</w:t>
            </w:r>
            <w:r>
              <w:rPr>
                <w:rFonts w:hint="eastAsia" w:ascii="仿宋_GB2312" w:hAnsi="宋体" w:cs="宋体"/>
                <w:color w:val="000000"/>
              </w:rPr>
              <w:t>.2</w:t>
            </w:r>
          </w:p>
          <w:p>
            <w:pPr>
              <w:jc w:val="center"/>
              <w:rPr>
                <w:rFonts w:ascii="仿宋_GB2312" w:hAnsi="宋体" w:cs="宋体"/>
                <w:color w:val="000000"/>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规范实施“明厨亮灶”(采用透明玻璃、视频式等)。</w:t>
            </w:r>
          </w:p>
          <w:p>
            <w:pPr>
              <w:rPr>
                <w:rFonts w:ascii="仿宋_GB2312" w:hAnsi="宋体" w:cs="宋体"/>
              </w:rPr>
            </w:pPr>
            <w:r>
              <w:rPr>
                <w:rFonts w:hint="eastAsia" w:ascii="仿宋_GB2312" w:hAnsi="宋体" w:cs="宋体"/>
                <w:b/>
                <w:bCs/>
              </w:rPr>
              <w:t>评分标准：</w:t>
            </w:r>
            <w:r>
              <w:rPr>
                <w:rFonts w:hint="eastAsia" w:ascii="仿宋_GB2312" w:hAnsi="宋体" w:cs="宋体"/>
                <w:bCs/>
              </w:rPr>
              <w:t>没实施明厨亮灶扣3分；</w:t>
            </w:r>
            <w:r>
              <w:rPr>
                <w:rFonts w:hint="eastAsia" w:ascii="仿宋_GB2312" w:hAnsi="宋体" w:cs="宋体"/>
              </w:rPr>
              <w:t>视频式明厨亮灶</w:t>
            </w:r>
            <w:r>
              <w:rPr>
                <w:rFonts w:hint="eastAsia" w:ascii="仿宋_GB2312" w:hAnsi="宋体" w:cs="宋体"/>
                <w:bCs/>
              </w:rPr>
              <w:t>没按规定在显著位置设置显示屏的扣2分。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rPr>
            </w:pPr>
            <w:r>
              <w:rPr>
                <w:rFonts w:hint="eastAsia" w:ascii="仿宋_GB2312" w:hAnsi="宋体" w:cs="宋体"/>
                <w:b/>
              </w:rPr>
              <w:t>总分</w:t>
            </w:r>
          </w:p>
        </w:tc>
        <w:tc>
          <w:tcPr>
            <w:tcW w:w="13774" w:type="dxa"/>
            <w:gridSpan w:val="5"/>
            <w:shd w:val="clear" w:color="000000" w:fill="FFFFFF"/>
            <w:vAlign w:val="center"/>
          </w:tcPr>
          <w:p>
            <w:pPr>
              <w:jc w:val="center"/>
              <w:rPr>
                <w:rFonts w:ascii="仿宋_GB2312" w:hAnsi="宋体" w:cs="宋体"/>
              </w:rPr>
            </w:pPr>
            <w:r>
              <w:rPr>
                <w:rFonts w:hint="eastAsia" w:ascii="仿宋_GB2312" w:hAnsi="宋体" w:cs="宋体"/>
              </w:rPr>
              <w:t>1</w:t>
            </w:r>
            <w:r>
              <w:rPr>
                <w:rFonts w:hint="eastAsia" w:ascii="仿宋_GB2312" w:hAnsi="宋体" w:cs="宋体"/>
                <w:lang w:val="en-US" w:eastAsia="zh-CN"/>
              </w:rPr>
              <w:t>41</w:t>
            </w:r>
            <w:r>
              <w:rPr>
                <w:rFonts w:hint="eastAsia" w:ascii="仿宋_GB2312" w:hAnsi="宋体" w:cs="宋体"/>
              </w:rPr>
              <w:t>分</w:t>
            </w:r>
          </w:p>
        </w:tc>
      </w:tr>
    </w:tbl>
    <w:p/>
    <w:p>
      <w:r>
        <w:rPr>
          <w:rFonts w:hint="eastAsia"/>
        </w:rPr>
        <w:t>说明：</w:t>
      </w:r>
    </w:p>
    <w:p>
      <w:pPr>
        <w:rPr>
          <w:rFonts w:ascii="宋体" w:hAnsi="宋体" w:cs="宋体"/>
          <w:szCs w:val="22"/>
        </w:rPr>
      </w:pPr>
      <w:r>
        <w:rPr>
          <w:rFonts w:hint="eastAsia" w:ascii="宋体" w:hAnsi="宋体" w:cs="宋体"/>
          <w:szCs w:val="22"/>
        </w:rPr>
        <w:t>1.扣分时可累计扣分，直到该编号内分数扣完为止；</w:t>
      </w:r>
    </w:p>
    <w:p>
      <w:pPr>
        <w:rPr>
          <w:rFonts w:ascii="宋体" w:hAnsi="宋体" w:cs="宋体"/>
          <w:szCs w:val="22"/>
        </w:rPr>
      </w:pPr>
      <w:r>
        <w:rPr>
          <w:rFonts w:hint="eastAsia" w:ascii="宋体" w:hAnsi="宋体" w:cs="宋体"/>
          <w:szCs w:val="22"/>
        </w:rPr>
        <w:t>2.如餐饮服务单位没有该项检查内容时，如专间，在备注栏里用NA标明；</w:t>
      </w:r>
    </w:p>
    <w:p>
      <w:pPr>
        <w:rPr>
          <w:rFonts w:ascii="宋体" w:hAnsi="宋体" w:cs="宋体"/>
          <w:szCs w:val="22"/>
        </w:rPr>
      </w:pPr>
      <w:r>
        <w:rPr>
          <w:rFonts w:hint="eastAsia" w:ascii="宋体" w:hAnsi="宋体" w:cs="宋体"/>
          <w:szCs w:val="22"/>
        </w:rPr>
        <w:t>3.如果检查中发现相同问题重复发生时，只扣一次分；</w:t>
      </w:r>
    </w:p>
    <w:p>
      <w:pPr>
        <w:rPr>
          <w:rFonts w:ascii="宋体" w:hAnsi="宋体" w:cs="宋体"/>
          <w:szCs w:val="21"/>
        </w:rPr>
      </w:pPr>
      <w:r>
        <w:rPr>
          <w:rFonts w:hint="eastAsia" w:ascii="宋体" w:hAnsi="宋体" w:cs="宋体"/>
          <w:szCs w:val="22"/>
        </w:rPr>
        <w:t>4.最后得分计算公式：</w:t>
      </w:r>
      <w:r>
        <w:rPr>
          <w:rFonts w:hint="eastAsia" w:ascii="宋体" w:hAnsi="宋体" w:cs="宋体"/>
        </w:rPr>
        <w:t>（总检查项目分数-总扣分数）/总检查项目分数×100。</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华文中宋" w:hAnsi="华文中宋" w:eastAsia="华文中宋" w:cs="Times New Roman"/>
          <w:kern w:val="2"/>
          <w:sz w:val="44"/>
          <w:szCs w:val="22"/>
        </w:rPr>
      </w:pPr>
      <w:r>
        <w:rPr>
          <w:rFonts w:ascii="华文中宋" w:hAnsi="华文中宋" w:eastAsia="华文中宋" w:cs="Times New Roman"/>
          <w:kern w:val="2"/>
          <w:sz w:val="44"/>
          <w:szCs w:val="22"/>
        </w:rPr>
        <w:br w:type="page"/>
      </w:r>
    </w:p>
    <w:p>
      <w:pPr>
        <w:jc w:val="center"/>
        <w:rPr>
          <w:rFonts w:ascii="华文中宋" w:hAnsi="华文中宋" w:eastAsia="华文中宋"/>
          <w:sz w:val="44"/>
          <w:szCs w:val="22"/>
        </w:rPr>
      </w:pPr>
      <w:r>
        <w:rPr>
          <w:rFonts w:hint="eastAsia" w:ascii="华文中宋" w:hAnsi="华文中宋" w:eastAsia="华文中宋" w:cs="Times New Roman"/>
          <w:kern w:val="2"/>
          <w:sz w:val="44"/>
          <w:szCs w:val="22"/>
        </w:rPr>
        <w:t>评估结果汇总表</w:t>
      </w:r>
    </w:p>
    <w:p>
      <w:pPr>
        <w:rPr>
          <w:rFonts w:ascii="宋体" w:hAnsi="宋体" w:cs="宋体"/>
          <w:b/>
          <w:szCs w:val="22"/>
          <w:u w:val="single"/>
        </w:rPr>
      </w:pPr>
      <w:r>
        <w:rPr>
          <w:rFonts w:hint="eastAsia" w:ascii="宋体" w:hAnsi="宋体" w:cs="宋体"/>
          <w:b/>
          <w:szCs w:val="22"/>
        </w:rPr>
        <w:t>受评估单位：</w:t>
      </w:r>
      <w:r>
        <w:rPr>
          <w:rFonts w:hint="eastAsia" w:ascii="宋体" w:hAnsi="宋体" w:cs="宋体"/>
          <w:b/>
          <w:szCs w:val="22"/>
          <w:u w:val="single"/>
        </w:rPr>
        <w:t xml:space="preserve">                                         </w:t>
      </w:r>
    </w:p>
    <w:p>
      <w:pPr>
        <w:rPr>
          <w:rFonts w:ascii="宋体" w:hAnsi="宋体" w:cs="宋体"/>
          <w:szCs w:val="21"/>
        </w:rPr>
      </w:pPr>
    </w:p>
    <w:tbl>
      <w:tblPr>
        <w:tblStyle w:val="13"/>
        <w:tblpPr w:leftFromText="180" w:rightFromText="180" w:vertAnchor="text" w:horzAnchor="page" w:tblpXSpec="center" w:tblpY="-39"/>
        <w:tblW w:w="1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8"/>
        <w:gridCol w:w="2848"/>
        <w:gridCol w:w="2848"/>
        <w:gridCol w:w="2848"/>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2848" w:type="dxa"/>
            <w:vAlign w:val="center"/>
          </w:tcPr>
          <w:p>
            <w:pPr>
              <w:jc w:val="center"/>
              <w:rPr>
                <w:rFonts w:ascii="宋体" w:hAnsi="宋体" w:cs="宋体"/>
                <w:b/>
              </w:rPr>
            </w:pPr>
            <w:r>
              <w:rPr>
                <w:rFonts w:hint="eastAsia" w:ascii="宋体" w:hAnsi="宋体" w:cs="宋体"/>
                <w:b/>
              </w:rPr>
              <w:t>检查总项目数</w:t>
            </w:r>
          </w:p>
        </w:tc>
        <w:tc>
          <w:tcPr>
            <w:tcW w:w="2848" w:type="dxa"/>
            <w:vAlign w:val="center"/>
          </w:tcPr>
          <w:p>
            <w:pPr>
              <w:jc w:val="center"/>
              <w:rPr>
                <w:rFonts w:ascii="宋体" w:hAnsi="宋体" w:cs="宋体"/>
                <w:b/>
              </w:rPr>
            </w:pPr>
            <w:r>
              <w:rPr>
                <w:rFonts w:ascii="宋体" w:hAnsi="宋体" w:cs="宋体"/>
                <w:b/>
              </w:rPr>
              <w:t>不适用项目数</w:t>
            </w:r>
          </w:p>
        </w:tc>
        <w:tc>
          <w:tcPr>
            <w:tcW w:w="2848" w:type="dxa"/>
            <w:vAlign w:val="center"/>
          </w:tcPr>
          <w:p>
            <w:pPr>
              <w:jc w:val="center"/>
              <w:rPr>
                <w:rFonts w:ascii="宋体" w:hAnsi="宋体" w:cs="宋体"/>
                <w:b/>
              </w:rPr>
            </w:pPr>
            <w:r>
              <w:rPr>
                <w:rFonts w:hint="eastAsia" w:ascii="宋体" w:hAnsi="宋体" w:cs="宋体"/>
                <w:b/>
              </w:rPr>
              <w:t>检查总项目分数</w:t>
            </w:r>
          </w:p>
        </w:tc>
        <w:tc>
          <w:tcPr>
            <w:tcW w:w="2848" w:type="dxa"/>
            <w:vAlign w:val="center"/>
          </w:tcPr>
          <w:p>
            <w:pPr>
              <w:jc w:val="center"/>
              <w:rPr>
                <w:rFonts w:ascii="宋体" w:hAnsi="宋体" w:cs="宋体"/>
                <w:b/>
              </w:rPr>
            </w:pPr>
            <w:r>
              <w:rPr>
                <w:rFonts w:hint="eastAsia" w:ascii="宋体" w:hAnsi="宋体" w:cs="宋体"/>
                <w:b/>
              </w:rPr>
              <w:t>检查得分</w:t>
            </w:r>
          </w:p>
        </w:tc>
        <w:tc>
          <w:tcPr>
            <w:tcW w:w="2848" w:type="dxa"/>
            <w:vAlign w:val="center"/>
          </w:tcPr>
          <w:p>
            <w:pPr>
              <w:jc w:val="center"/>
              <w:rPr>
                <w:rFonts w:ascii="宋体" w:hAnsi="宋体" w:cs="宋体"/>
                <w:b/>
              </w:rPr>
            </w:pPr>
            <w:r>
              <w:rPr>
                <w:rFonts w:hint="eastAsia" w:ascii="宋体" w:hAnsi="宋体" w:cs="宋体"/>
                <w:b/>
                <w:szCs w:val="22"/>
              </w:rPr>
              <w:t>得分率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848" w:type="dxa"/>
            <w:vAlign w:val="center"/>
          </w:tcPr>
          <w:p>
            <w:pPr>
              <w:jc w:val="center"/>
              <w:rPr>
                <w:rFonts w:ascii="宋体" w:hAnsi="宋体" w:cs="宋体"/>
                <w:b/>
                <w:color w:val="auto"/>
              </w:rPr>
            </w:pPr>
          </w:p>
        </w:tc>
        <w:tc>
          <w:tcPr>
            <w:tcW w:w="2848" w:type="dxa"/>
            <w:vAlign w:val="center"/>
          </w:tcPr>
          <w:p>
            <w:pPr>
              <w:jc w:val="center"/>
              <w:rPr>
                <w:rFonts w:ascii="宋体" w:hAnsi="宋体" w:cs="宋体"/>
                <w:b/>
                <w:color w:val="auto"/>
              </w:rPr>
            </w:pPr>
          </w:p>
        </w:tc>
        <w:tc>
          <w:tcPr>
            <w:tcW w:w="2848" w:type="dxa"/>
            <w:vAlign w:val="center"/>
          </w:tcPr>
          <w:p>
            <w:pPr>
              <w:jc w:val="center"/>
              <w:rPr>
                <w:rFonts w:ascii="宋体" w:hAnsi="宋体" w:cs="宋体"/>
                <w:b/>
                <w:color w:val="auto"/>
              </w:rPr>
            </w:pPr>
          </w:p>
        </w:tc>
        <w:tc>
          <w:tcPr>
            <w:tcW w:w="2848" w:type="dxa"/>
            <w:vAlign w:val="center"/>
          </w:tcPr>
          <w:p>
            <w:pPr>
              <w:rPr>
                <w:rFonts w:ascii="宋体" w:hAnsi="宋体" w:cs="宋体"/>
                <w:b/>
                <w:color w:val="auto"/>
              </w:rPr>
            </w:pPr>
          </w:p>
        </w:tc>
        <w:tc>
          <w:tcPr>
            <w:tcW w:w="2848" w:type="dxa"/>
            <w:vAlign w:val="center"/>
          </w:tcPr>
          <w:p>
            <w:pPr>
              <w:rPr>
                <w:rFonts w:ascii="宋体" w:hAnsi="宋体" w:cs="宋体"/>
                <w:b/>
                <w:color w:val="auto"/>
              </w:rPr>
            </w:pPr>
          </w:p>
        </w:tc>
      </w:tr>
    </w:tbl>
    <w:p>
      <w:pPr>
        <w:rPr>
          <w:rFonts w:ascii="宋体" w:hAnsi="宋体" w:cs="宋体"/>
          <w:b/>
          <w:bCs/>
        </w:rPr>
      </w:pPr>
    </w:p>
    <w:p>
      <w:pPr>
        <w:rPr>
          <w:rFonts w:ascii="宋体" w:hAnsi="宋体" w:cs="宋体"/>
          <w:b/>
          <w:bCs/>
        </w:rPr>
      </w:pPr>
      <w:r>
        <w:rPr>
          <w:rFonts w:hint="eastAsia" w:ascii="宋体" w:hAnsi="宋体" w:cs="宋体"/>
          <w:b/>
          <w:bCs/>
        </w:rPr>
        <w:t>检查人签名：                                        陪同人签名：</w:t>
      </w:r>
    </w:p>
    <w:p>
      <w:pPr>
        <w:rPr>
          <w:rFonts w:ascii="宋体" w:hAnsi="宋体" w:cs="宋体"/>
          <w:b/>
          <w:bCs/>
        </w:rPr>
      </w:pPr>
    </w:p>
    <w:p>
      <w:pPr>
        <w:pStyle w:val="30"/>
        <w:widowControl w:val="0"/>
        <w:spacing w:beforeLines="0" w:after="120" w:afterLines="50" w:line="600" w:lineRule="exact"/>
        <w:ind w:firstLine="0" w:firstLineChars="0"/>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检查时间：            年     月     日</w:t>
      </w:r>
    </w:p>
    <w:sectPr>
      <w:pgSz w:w="16840" w:h="11907" w:orient="landscape"/>
      <w:pgMar w:top="1800" w:right="1440" w:bottom="1800" w:left="1440" w:header="851" w:footer="680" w:gutter="0"/>
      <w:pgNumType w:fmt="decimalFullWidt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MT Extra">
    <w:altName w:val="Kingsoft Extra"/>
    <w:panose1 w:val="05050102010205020202"/>
    <w:charset w:val="02"/>
    <w:family w:val="roman"/>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华文中宋">
    <w:altName w:val="汉仪中宋简"/>
    <w:panose1 w:val="02010600040101010101"/>
    <w:charset w:val="86"/>
    <w:family w:val="auto"/>
    <w:pitch w:val="default"/>
    <w:sig w:usb0="00000000" w:usb1="00000000" w:usb2="00000000" w:usb3="00000000" w:csb0="0004009F" w:csb1="DFD70000"/>
  </w:font>
  <w:font w:name="Helvetica">
    <w:altName w:val="Liberation Sans"/>
    <w:panose1 w:val="020B0604020202020204"/>
    <w:charset w:val="00"/>
    <w:family w:val="swiss"/>
    <w:pitch w:val="default"/>
    <w:sig w:usb0="00000000" w:usb1="00000000" w:usb2="00000000" w:usb3="00000000" w:csb0="00000001" w:csb1="00000000"/>
  </w:font>
  <w:font w:name="URW Bookman">
    <w:panose1 w:val="00000400000000000000"/>
    <w:charset w:val="00"/>
    <w:family w:val="auto"/>
    <w:pitch w:val="default"/>
    <w:sig w:usb0="00000287" w:usb1="00000800" w:usb2="00000000" w:usb3="00000000" w:csb0="6000009F" w:csb1="00000000"/>
  </w:font>
  <w:font w:name="汉仪中宋简">
    <w:panose1 w:val="02010600000101010101"/>
    <w:charset w:val="86"/>
    <w:family w:val="auto"/>
    <w:pitch w:val="default"/>
    <w:sig w:usb0="00000001" w:usb1="080E0800" w:usb2="00000002"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Kingsoft Extra">
    <w:panose1 w:val="05050102010205020202"/>
    <w:charset w:val="00"/>
    <w:family w:val="auto"/>
    <w:pitch w:val="default"/>
    <w:sig w:usb0="8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Ubuntu">
    <w:panose1 w:val="020B0604030602030204"/>
    <w:charset w:val="00"/>
    <w:family w:val="auto"/>
    <w:pitch w:val="default"/>
    <w:sig w:usb0="E00002FF" w:usb1="5000205B" w:usb2="00000000" w:usb3="00000000" w:csb0="2000009F" w:csb1="5601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Liberation Sans">
    <w:panose1 w:val="020B0604020202020204"/>
    <w:charset w:val="00"/>
    <w:family w:val="auto"/>
    <w:pitch w:val="default"/>
    <w:sig w:usb0="A00002AF" w:usb1="5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5Mzc2NzQ5YThmZmI4ZjJkZjE5ZjA1MzhmOGQxNTcifQ=="/>
  </w:docVars>
  <w:rsids>
    <w:rsidRoot w:val="005B160C"/>
    <w:rsid w:val="000546AF"/>
    <w:rsid w:val="001572EA"/>
    <w:rsid w:val="001B772D"/>
    <w:rsid w:val="002671B8"/>
    <w:rsid w:val="003F2712"/>
    <w:rsid w:val="004B2B21"/>
    <w:rsid w:val="005B160C"/>
    <w:rsid w:val="005F01A6"/>
    <w:rsid w:val="00940811"/>
    <w:rsid w:val="00AB5869"/>
    <w:rsid w:val="00B20DF2"/>
    <w:rsid w:val="00C21F6F"/>
    <w:rsid w:val="00C31533"/>
    <w:rsid w:val="00DC534F"/>
    <w:rsid w:val="00E15E98"/>
    <w:rsid w:val="011949CD"/>
    <w:rsid w:val="0159301C"/>
    <w:rsid w:val="015F59DE"/>
    <w:rsid w:val="019F1377"/>
    <w:rsid w:val="01E111B5"/>
    <w:rsid w:val="01E7687A"/>
    <w:rsid w:val="025727E8"/>
    <w:rsid w:val="02A37613"/>
    <w:rsid w:val="02BF77F6"/>
    <w:rsid w:val="03192A63"/>
    <w:rsid w:val="033F35CD"/>
    <w:rsid w:val="036F2FCB"/>
    <w:rsid w:val="03A8028B"/>
    <w:rsid w:val="041259AC"/>
    <w:rsid w:val="0430275A"/>
    <w:rsid w:val="048D195A"/>
    <w:rsid w:val="05157BA2"/>
    <w:rsid w:val="051A0D14"/>
    <w:rsid w:val="052F2A11"/>
    <w:rsid w:val="05573D16"/>
    <w:rsid w:val="057743B8"/>
    <w:rsid w:val="05B87BC8"/>
    <w:rsid w:val="05F6352F"/>
    <w:rsid w:val="06293905"/>
    <w:rsid w:val="06A44D39"/>
    <w:rsid w:val="071F36EB"/>
    <w:rsid w:val="075F6EB2"/>
    <w:rsid w:val="0768045D"/>
    <w:rsid w:val="07AA2823"/>
    <w:rsid w:val="08017F69"/>
    <w:rsid w:val="082223BA"/>
    <w:rsid w:val="084F33CB"/>
    <w:rsid w:val="08634780"/>
    <w:rsid w:val="08B55E1C"/>
    <w:rsid w:val="08FD6983"/>
    <w:rsid w:val="09E71B0D"/>
    <w:rsid w:val="0A03446D"/>
    <w:rsid w:val="0A0D52EB"/>
    <w:rsid w:val="0AB82437"/>
    <w:rsid w:val="0B381EF4"/>
    <w:rsid w:val="0BC36B2C"/>
    <w:rsid w:val="0CE560AB"/>
    <w:rsid w:val="0CF31BB9"/>
    <w:rsid w:val="0CFC6840"/>
    <w:rsid w:val="0D8B0A01"/>
    <w:rsid w:val="0DBA5182"/>
    <w:rsid w:val="0DCD1019"/>
    <w:rsid w:val="0E5139F9"/>
    <w:rsid w:val="0EC248F6"/>
    <w:rsid w:val="0EFB1BB6"/>
    <w:rsid w:val="0F052A35"/>
    <w:rsid w:val="0F096081"/>
    <w:rsid w:val="0FB029A1"/>
    <w:rsid w:val="0FC85F3C"/>
    <w:rsid w:val="105477D0"/>
    <w:rsid w:val="10730FAE"/>
    <w:rsid w:val="10757746"/>
    <w:rsid w:val="10BB33AB"/>
    <w:rsid w:val="10CA5CE4"/>
    <w:rsid w:val="116E041E"/>
    <w:rsid w:val="11AC53EA"/>
    <w:rsid w:val="128123D2"/>
    <w:rsid w:val="12843C71"/>
    <w:rsid w:val="128D6FC9"/>
    <w:rsid w:val="128F2D41"/>
    <w:rsid w:val="12F52AE2"/>
    <w:rsid w:val="134F24D1"/>
    <w:rsid w:val="13C46A1B"/>
    <w:rsid w:val="14BF71E2"/>
    <w:rsid w:val="14C50C9C"/>
    <w:rsid w:val="14C8078D"/>
    <w:rsid w:val="14FC5C4D"/>
    <w:rsid w:val="154F4A0A"/>
    <w:rsid w:val="15B73E4D"/>
    <w:rsid w:val="163A2FC4"/>
    <w:rsid w:val="16461969"/>
    <w:rsid w:val="169E79F7"/>
    <w:rsid w:val="16DB6FDB"/>
    <w:rsid w:val="17035AAC"/>
    <w:rsid w:val="171E2D5C"/>
    <w:rsid w:val="17285513"/>
    <w:rsid w:val="174B2FAF"/>
    <w:rsid w:val="17BB6387"/>
    <w:rsid w:val="1852171B"/>
    <w:rsid w:val="18583BD5"/>
    <w:rsid w:val="18756535"/>
    <w:rsid w:val="18874311"/>
    <w:rsid w:val="18E37943"/>
    <w:rsid w:val="191441E7"/>
    <w:rsid w:val="196B7938"/>
    <w:rsid w:val="198239B1"/>
    <w:rsid w:val="1A037B71"/>
    <w:rsid w:val="1A2A2DC0"/>
    <w:rsid w:val="1A2E5A9C"/>
    <w:rsid w:val="1B863944"/>
    <w:rsid w:val="1B9211AC"/>
    <w:rsid w:val="1BC01B1B"/>
    <w:rsid w:val="1BED33B4"/>
    <w:rsid w:val="1BF421B6"/>
    <w:rsid w:val="1C542F91"/>
    <w:rsid w:val="1CA94A00"/>
    <w:rsid w:val="1D152095"/>
    <w:rsid w:val="1DF7B82D"/>
    <w:rsid w:val="1EBA2EF4"/>
    <w:rsid w:val="1EDA5773"/>
    <w:rsid w:val="2136082C"/>
    <w:rsid w:val="21817FA8"/>
    <w:rsid w:val="21AB746C"/>
    <w:rsid w:val="21F14E47"/>
    <w:rsid w:val="22121299"/>
    <w:rsid w:val="22244B28"/>
    <w:rsid w:val="22862890"/>
    <w:rsid w:val="23147CFC"/>
    <w:rsid w:val="23BC14BC"/>
    <w:rsid w:val="243C43AB"/>
    <w:rsid w:val="24A26904"/>
    <w:rsid w:val="24BE3012"/>
    <w:rsid w:val="24C600EB"/>
    <w:rsid w:val="24ED38F7"/>
    <w:rsid w:val="250C6474"/>
    <w:rsid w:val="254F010E"/>
    <w:rsid w:val="25675731"/>
    <w:rsid w:val="258424AE"/>
    <w:rsid w:val="25F74A2E"/>
    <w:rsid w:val="264F6618"/>
    <w:rsid w:val="26E74AA2"/>
    <w:rsid w:val="270218DC"/>
    <w:rsid w:val="27223D2C"/>
    <w:rsid w:val="276547EE"/>
    <w:rsid w:val="27F35534"/>
    <w:rsid w:val="28AB2DC8"/>
    <w:rsid w:val="28B210E0"/>
    <w:rsid w:val="28F434A6"/>
    <w:rsid w:val="29115E06"/>
    <w:rsid w:val="292D0766"/>
    <w:rsid w:val="2A3E4CDE"/>
    <w:rsid w:val="2A646D46"/>
    <w:rsid w:val="2B4C1378"/>
    <w:rsid w:val="2B5F30ED"/>
    <w:rsid w:val="2B8943E8"/>
    <w:rsid w:val="2BB313F7"/>
    <w:rsid w:val="2C0C6D59"/>
    <w:rsid w:val="2C7218B3"/>
    <w:rsid w:val="2D3175A5"/>
    <w:rsid w:val="2D447250"/>
    <w:rsid w:val="2D5E5392"/>
    <w:rsid w:val="2E0A1B51"/>
    <w:rsid w:val="2E65368A"/>
    <w:rsid w:val="2E773873"/>
    <w:rsid w:val="2F0B779C"/>
    <w:rsid w:val="2F1228D8"/>
    <w:rsid w:val="2F452CAE"/>
    <w:rsid w:val="2F5C1DA5"/>
    <w:rsid w:val="2FC348BF"/>
    <w:rsid w:val="305E5F35"/>
    <w:rsid w:val="3096251A"/>
    <w:rsid w:val="30D8545C"/>
    <w:rsid w:val="30F2476F"/>
    <w:rsid w:val="311C17EC"/>
    <w:rsid w:val="315C7E3B"/>
    <w:rsid w:val="318D4498"/>
    <w:rsid w:val="31E0281A"/>
    <w:rsid w:val="320C360F"/>
    <w:rsid w:val="32785148"/>
    <w:rsid w:val="32CC0FF0"/>
    <w:rsid w:val="32CD7638"/>
    <w:rsid w:val="32D3412D"/>
    <w:rsid w:val="32EB1476"/>
    <w:rsid w:val="33064502"/>
    <w:rsid w:val="331E1D40"/>
    <w:rsid w:val="33356B95"/>
    <w:rsid w:val="33F425AD"/>
    <w:rsid w:val="341C079A"/>
    <w:rsid w:val="343706EB"/>
    <w:rsid w:val="34627E5E"/>
    <w:rsid w:val="34D80120"/>
    <w:rsid w:val="353115DE"/>
    <w:rsid w:val="353D60DD"/>
    <w:rsid w:val="35BD238E"/>
    <w:rsid w:val="364C4922"/>
    <w:rsid w:val="36B97023"/>
    <w:rsid w:val="36DF659D"/>
    <w:rsid w:val="36E56B24"/>
    <w:rsid w:val="372633C5"/>
    <w:rsid w:val="37DF3E79"/>
    <w:rsid w:val="37F46E66"/>
    <w:rsid w:val="386A72E1"/>
    <w:rsid w:val="38E075A3"/>
    <w:rsid w:val="38F11738"/>
    <w:rsid w:val="39A14F85"/>
    <w:rsid w:val="39A86313"/>
    <w:rsid w:val="39D22714"/>
    <w:rsid w:val="3A2F2590"/>
    <w:rsid w:val="3A935005"/>
    <w:rsid w:val="3B929B7A"/>
    <w:rsid w:val="3BFF4C27"/>
    <w:rsid w:val="3C125CC6"/>
    <w:rsid w:val="3DE66691"/>
    <w:rsid w:val="3E55633E"/>
    <w:rsid w:val="416B7C26"/>
    <w:rsid w:val="418331C2"/>
    <w:rsid w:val="41C21F3C"/>
    <w:rsid w:val="426B6130"/>
    <w:rsid w:val="42D9753D"/>
    <w:rsid w:val="433E3844"/>
    <w:rsid w:val="43771ECC"/>
    <w:rsid w:val="438B3D9A"/>
    <w:rsid w:val="440F6F8F"/>
    <w:rsid w:val="441A7E0D"/>
    <w:rsid w:val="445D5F4C"/>
    <w:rsid w:val="4484172B"/>
    <w:rsid w:val="44CE4BC2"/>
    <w:rsid w:val="44EE3048"/>
    <w:rsid w:val="45232CF2"/>
    <w:rsid w:val="45800144"/>
    <w:rsid w:val="45AD2F03"/>
    <w:rsid w:val="4613720A"/>
    <w:rsid w:val="46340F2E"/>
    <w:rsid w:val="4654337F"/>
    <w:rsid w:val="46607F75"/>
    <w:rsid w:val="46CC73B9"/>
    <w:rsid w:val="476E221E"/>
    <w:rsid w:val="47F404E7"/>
    <w:rsid w:val="48147269"/>
    <w:rsid w:val="481C69A7"/>
    <w:rsid w:val="484336AB"/>
    <w:rsid w:val="48456E37"/>
    <w:rsid w:val="485E2293"/>
    <w:rsid w:val="48621D83"/>
    <w:rsid w:val="487B1097"/>
    <w:rsid w:val="488E2B78"/>
    <w:rsid w:val="48945CB4"/>
    <w:rsid w:val="48961A2D"/>
    <w:rsid w:val="495D254A"/>
    <w:rsid w:val="49EA64D4"/>
    <w:rsid w:val="49F11610"/>
    <w:rsid w:val="4A1D7A4F"/>
    <w:rsid w:val="4A6242BC"/>
    <w:rsid w:val="4A6313CC"/>
    <w:rsid w:val="4A8B55AD"/>
    <w:rsid w:val="4AA523FB"/>
    <w:rsid w:val="4AEC002A"/>
    <w:rsid w:val="4B05680D"/>
    <w:rsid w:val="4B1D01E3"/>
    <w:rsid w:val="4B313303"/>
    <w:rsid w:val="4D511632"/>
    <w:rsid w:val="4DBF1A26"/>
    <w:rsid w:val="4E485577"/>
    <w:rsid w:val="4E8011B5"/>
    <w:rsid w:val="4F01524C"/>
    <w:rsid w:val="4F766114"/>
    <w:rsid w:val="4F8B7E11"/>
    <w:rsid w:val="4FCD042A"/>
    <w:rsid w:val="4FEF7BD6"/>
    <w:rsid w:val="50055E16"/>
    <w:rsid w:val="50146059"/>
    <w:rsid w:val="50D55C39"/>
    <w:rsid w:val="51147AF4"/>
    <w:rsid w:val="51580024"/>
    <w:rsid w:val="516B614C"/>
    <w:rsid w:val="5176064D"/>
    <w:rsid w:val="52075749"/>
    <w:rsid w:val="522D3402"/>
    <w:rsid w:val="52395676"/>
    <w:rsid w:val="52EA72D9"/>
    <w:rsid w:val="537E5F53"/>
    <w:rsid w:val="53BF452D"/>
    <w:rsid w:val="5415239F"/>
    <w:rsid w:val="542F16AF"/>
    <w:rsid w:val="549C03CB"/>
    <w:rsid w:val="54F00716"/>
    <w:rsid w:val="56312D95"/>
    <w:rsid w:val="56625644"/>
    <w:rsid w:val="56A638A0"/>
    <w:rsid w:val="56B934B6"/>
    <w:rsid w:val="56F20776"/>
    <w:rsid w:val="570010E5"/>
    <w:rsid w:val="573F7D60"/>
    <w:rsid w:val="57CD7D35"/>
    <w:rsid w:val="58F00CE5"/>
    <w:rsid w:val="59284923"/>
    <w:rsid w:val="592B4413"/>
    <w:rsid w:val="597D4C6F"/>
    <w:rsid w:val="59975605"/>
    <w:rsid w:val="59B461B6"/>
    <w:rsid w:val="59DD570D"/>
    <w:rsid w:val="5AA47266"/>
    <w:rsid w:val="5B01716D"/>
    <w:rsid w:val="5B443DEB"/>
    <w:rsid w:val="5BDC4BAC"/>
    <w:rsid w:val="5BF70307"/>
    <w:rsid w:val="5C064B23"/>
    <w:rsid w:val="5E581806"/>
    <w:rsid w:val="5E59557E"/>
    <w:rsid w:val="5F337B7D"/>
    <w:rsid w:val="5F6661A5"/>
    <w:rsid w:val="5F973EE8"/>
    <w:rsid w:val="5FE80968"/>
    <w:rsid w:val="607F0F96"/>
    <w:rsid w:val="618E553F"/>
    <w:rsid w:val="61AB60F1"/>
    <w:rsid w:val="61D373F6"/>
    <w:rsid w:val="62013F63"/>
    <w:rsid w:val="622F6D22"/>
    <w:rsid w:val="63155F18"/>
    <w:rsid w:val="63556314"/>
    <w:rsid w:val="63784F7F"/>
    <w:rsid w:val="638C7FE1"/>
    <w:rsid w:val="64393E88"/>
    <w:rsid w:val="64D12312"/>
    <w:rsid w:val="65240694"/>
    <w:rsid w:val="655B1BDC"/>
    <w:rsid w:val="65BF660F"/>
    <w:rsid w:val="663C08FE"/>
    <w:rsid w:val="66C57C55"/>
    <w:rsid w:val="677F7E04"/>
    <w:rsid w:val="67A21D44"/>
    <w:rsid w:val="67C6415B"/>
    <w:rsid w:val="67C717AB"/>
    <w:rsid w:val="68AD274F"/>
    <w:rsid w:val="68B910F3"/>
    <w:rsid w:val="68BD4F80"/>
    <w:rsid w:val="68CA3301"/>
    <w:rsid w:val="69C80E29"/>
    <w:rsid w:val="69D41F5D"/>
    <w:rsid w:val="6A8120E5"/>
    <w:rsid w:val="6A9040D6"/>
    <w:rsid w:val="6A9C6F1F"/>
    <w:rsid w:val="6AA858C3"/>
    <w:rsid w:val="6B037157"/>
    <w:rsid w:val="6B07083C"/>
    <w:rsid w:val="6B657311"/>
    <w:rsid w:val="6C022DB1"/>
    <w:rsid w:val="6C1B20C5"/>
    <w:rsid w:val="6C360CAD"/>
    <w:rsid w:val="6C9205D9"/>
    <w:rsid w:val="6D521B17"/>
    <w:rsid w:val="6E0077C5"/>
    <w:rsid w:val="6E0948CB"/>
    <w:rsid w:val="6E0A419F"/>
    <w:rsid w:val="6E5D4C17"/>
    <w:rsid w:val="6E7206C2"/>
    <w:rsid w:val="6F6A3147"/>
    <w:rsid w:val="6FC16C81"/>
    <w:rsid w:val="6FE0340A"/>
    <w:rsid w:val="7064403B"/>
    <w:rsid w:val="70B0102E"/>
    <w:rsid w:val="70B84386"/>
    <w:rsid w:val="719E17CE"/>
    <w:rsid w:val="72C708B1"/>
    <w:rsid w:val="73C53042"/>
    <w:rsid w:val="741B5358"/>
    <w:rsid w:val="74263A0E"/>
    <w:rsid w:val="742F4960"/>
    <w:rsid w:val="742F670E"/>
    <w:rsid w:val="745F396B"/>
    <w:rsid w:val="74AA048A"/>
    <w:rsid w:val="756B7C19"/>
    <w:rsid w:val="767E2C34"/>
    <w:rsid w:val="76B6710A"/>
    <w:rsid w:val="77130569"/>
    <w:rsid w:val="7769462C"/>
    <w:rsid w:val="777234E1"/>
    <w:rsid w:val="77AD62C7"/>
    <w:rsid w:val="77CF26E1"/>
    <w:rsid w:val="782F507F"/>
    <w:rsid w:val="78E8332F"/>
    <w:rsid w:val="79532E9E"/>
    <w:rsid w:val="79877ACD"/>
    <w:rsid w:val="79905EA0"/>
    <w:rsid w:val="79D56927"/>
    <w:rsid w:val="7A4D1FE3"/>
    <w:rsid w:val="7AAB8EBC"/>
    <w:rsid w:val="7AB83901"/>
    <w:rsid w:val="7AD75FBE"/>
    <w:rsid w:val="7AE85868"/>
    <w:rsid w:val="7B670E83"/>
    <w:rsid w:val="7B7D2454"/>
    <w:rsid w:val="7B914152"/>
    <w:rsid w:val="7C224DAA"/>
    <w:rsid w:val="7C7B3D17"/>
    <w:rsid w:val="7CA12173"/>
    <w:rsid w:val="7CD662C0"/>
    <w:rsid w:val="7CE78AC0"/>
    <w:rsid w:val="7D23702C"/>
    <w:rsid w:val="7DB61C4E"/>
    <w:rsid w:val="7DBF46FC"/>
    <w:rsid w:val="7E7A4815"/>
    <w:rsid w:val="7F295FA4"/>
    <w:rsid w:val="7F323556"/>
    <w:rsid w:val="7F7AD976"/>
    <w:rsid w:val="7FBA3C77"/>
    <w:rsid w:val="7FFD63E4"/>
    <w:rsid w:val="DF7E86D1"/>
    <w:rsid w:val="F9C5A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MT Extra" w:hAnsi="MT Extra" w:eastAsia="宋体" w:cs="MT Extra"/>
      <w:sz w:val="24"/>
      <w:szCs w:val="24"/>
      <w:lang w:val="en-US" w:eastAsia="zh-CN" w:bidi="ar-SA"/>
    </w:rPr>
  </w:style>
  <w:style w:type="paragraph" w:styleId="2">
    <w:name w:val="heading 1"/>
    <w:basedOn w:val="1"/>
    <w:next w:val="1"/>
    <w:link w:val="34"/>
    <w:qFormat/>
    <w:uiPriority w:val="0"/>
    <w:pPr>
      <w:keepNext/>
      <w:keepLines/>
      <w:widowControl w:val="0"/>
      <w:spacing w:before="340" w:after="330" w:line="578" w:lineRule="auto"/>
      <w:jc w:val="both"/>
      <w:outlineLvl w:val="0"/>
    </w:pPr>
    <w:rPr>
      <w:rFonts w:ascii="Times New Roman" w:hAnsi="Times New Roman" w:eastAsia="仿宋_GB2312" w:cs="Times New Roman"/>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Document Map"/>
    <w:basedOn w:val="1"/>
    <w:link w:val="20"/>
    <w:qFormat/>
    <w:uiPriority w:val="0"/>
    <w:rPr>
      <w:rFonts w:ascii="宋体"/>
      <w:sz w:val="18"/>
      <w:szCs w:val="18"/>
    </w:rPr>
  </w:style>
  <w:style w:type="paragraph" w:styleId="5">
    <w:name w:val="Body Text Indent"/>
    <w:basedOn w:val="1"/>
    <w:link w:val="21"/>
    <w:qFormat/>
    <w:uiPriority w:val="0"/>
    <w:pPr>
      <w:spacing w:before="50" w:after="120" w:line="240" w:lineRule="exact"/>
      <w:ind w:firstLine="480" w:firstLineChars="200"/>
    </w:pPr>
    <w:rPr>
      <w:szCs w:val="20"/>
    </w:rPr>
  </w:style>
  <w:style w:type="paragraph" w:styleId="6">
    <w:name w:val="Plain Text"/>
    <w:basedOn w:val="1"/>
    <w:link w:val="22"/>
    <w:qFormat/>
    <w:uiPriority w:val="0"/>
    <w:pPr>
      <w:widowControl w:val="0"/>
      <w:jc w:val="both"/>
    </w:pPr>
    <w:rPr>
      <w:rFonts w:ascii="宋体" w:hAnsi="Courier New"/>
      <w:sz w:val="20"/>
      <w:szCs w:val="20"/>
    </w:rPr>
  </w:style>
  <w:style w:type="paragraph" w:styleId="7">
    <w:name w:val="Date"/>
    <w:basedOn w:val="1"/>
    <w:next w:val="1"/>
    <w:link w:val="24"/>
    <w:qFormat/>
    <w:uiPriority w:val="0"/>
    <w:pPr>
      <w:adjustRightInd w:val="0"/>
      <w:spacing w:line="312" w:lineRule="atLeast"/>
      <w:textAlignment w:val="baseline"/>
    </w:pPr>
    <w:rPr>
      <w:rFonts w:ascii="宋体"/>
      <w:spacing w:val="10"/>
      <w:szCs w:val="20"/>
    </w:rPr>
  </w:style>
  <w:style w:type="paragraph" w:styleId="8">
    <w:name w:val="Balloon Text"/>
    <w:basedOn w:val="1"/>
    <w:link w:val="25"/>
    <w:qFormat/>
    <w:uiPriority w:val="0"/>
    <w:rPr>
      <w:sz w:val="18"/>
      <w:szCs w:val="18"/>
    </w:rPr>
  </w:style>
  <w:style w:type="paragraph" w:styleId="9">
    <w:name w:val="footer"/>
    <w:basedOn w:val="1"/>
    <w:link w:val="19"/>
    <w:unhideWhenUsed/>
    <w:qFormat/>
    <w:uiPriority w:val="99"/>
    <w:pPr>
      <w:tabs>
        <w:tab w:val="center" w:pos="4153"/>
        <w:tab w:val="right" w:pos="8306"/>
      </w:tabs>
      <w:snapToGrid w:val="0"/>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27"/>
    <w:qFormat/>
    <w:uiPriority w:val="0"/>
    <w:pPr>
      <w:ind w:firstLine="420" w:firstLineChars="200"/>
    </w:pPr>
    <w:rPr>
      <w:szCs w:val="20"/>
    </w:rPr>
  </w:style>
  <w:style w:type="paragraph" w:styleId="12">
    <w:name w:val="Normal (Web)"/>
    <w:basedOn w:val="1"/>
    <w:qFormat/>
    <w:uiPriority w:val="0"/>
    <w:pPr>
      <w:spacing w:before="100" w:beforeAutospacing="1" w:after="100" w:afterAutospacing="1"/>
    </w:pPr>
    <w:rPr>
      <w:rFonts w:ascii="宋体" w:hAnsi="宋体" w:eastAsia="仿宋_GB2312" w:cs="宋体"/>
      <w:szCs w:val="20"/>
    </w:rPr>
  </w:style>
  <w:style w:type="table" w:styleId="14">
    <w:name w:val="Table Grid"/>
    <w:basedOn w:val="13"/>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qFormat/>
    <w:uiPriority w:val="0"/>
    <w:rPr>
      <w:color w:val="0000FF"/>
      <w:u w:val="single"/>
    </w:rPr>
  </w:style>
  <w:style w:type="character" w:customStyle="1" w:styleId="18">
    <w:name w:val="页眉 Char"/>
    <w:basedOn w:val="15"/>
    <w:link w:val="10"/>
    <w:qFormat/>
    <w:uiPriority w:val="0"/>
    <w:rPr>
      <w:sz w:val="18"/>
      <w:szCs w:val="18"/>
    </w:rPr>
  </w:style>
  <w:style w:type="character" w:customStyle="1" w:styleId="19">
    <w:name w:val="页脚 Char"/>
    <w:basedOn w:val="15"/>
    <w:link w:val="9"/>
    <w:qFormat/>
    <w:uiPriority w:val="99"/>
    <w:rPr>
      <w:sz w:val="18"/>
      <w:szCs w:val="18"/>
    </w:rPr>
  </w:style>
  <w:style w:type="character" w:customStyle="1" w:styleId="20">
    <w:name w:val="文档结构图 Char"/>
    <w:basedOn w:val="15"/>
    <w:link w:val="4"/>
    <w:qFormat/>
    <w:uiPriority w:val="0"/>
    <w:rPr>
      <w:rFonts w:ascii="宋体" w:hAnsi="MT Extra" w:eastAsia="宋体" w:cs="MT Extra"/>
      <w:kern w:val="0"/>
      <w:sz w:val="18"/>
      <w:szCs w:val="18"/>
    </w:rPr>
  </w:style>
  <w:style w:type="character" w:customStyle="1" w:styleId="21">
    <w:name w:val="正文文本缩进 Char"/>
    <w:basedOn w:val="15"/>
    <w:link w:val="5"/>
    <w:qFormat/>
    <w:uiPriority w:val="0"/>
    <w:rPr>
      <w:rFonts w:ascii="MT Extra" w:hAnsi="MT Extra" w:eastAsia="宋体" w:cs="MT Extra"/>
      <w:kern w:val="0"/>
      <w:sz w:val="24"/>
      <w:szCs w:val="20"/>
    </w:rPr>
  </w:style>
  <w:style w:type="character" w:customStyle="1" w:styleId="22">
    <w:name w:val="纯文本 Char1"/>
    <w:basedOn w:val="15"/>
    <w:link w:val="6"/>
    <w:qFormat/>
    <w:uiPriority w:val="0"/>
    <w:rPr>
      <w:rFonts w:ascii="宋体" w:hAnsi="Courier New" w:eastAsia="宋体" w:cs="MT Extra"/>
      <w:kern w:val="0"/>
      <w:sz w:val="20"/>
      <w:szCs w:val="20"/>
    </w:rPr>
  </w:style>
  <w:style w:type="character" w:customStyle="1" w:styleId="23">
    <w:name w:val="纯文本 Char"/>
    <w:basedOn w:val="15"/>
    <w:qFormat/>
    <w:uiPriority w:val="0"/>
    <w:rPr>
      <w:rFonts w:ascii="宋体" w:hAnsi="Courier New" w:eastAsia="宋体" w:cs="Courier New"/>
      <w:kern w:val="0"/>
      <w:szCs w:val="21"/>
    </w:rPr>
  </w:style>
  <w:style w:type="character" w:customStyle="1" w:styleId="24">
    <w:name w:val="日期 Char"/>
    <w:basedOn w:val="15"/>
    <w:link w:val="7"/>
    <w:qFormat/>
    <w:uiPriority w:val="0"/>
    <w:rPr>
      <w:rFonts w:ascii="宋体" w:hAnsi="MT Extra" w:eastAsia="宋体" w:cs="MT Extra"/>
      <w:spacing w:val="10"/>
      <w:kern w:val="0"/>
      <w:sz w:val="24"/>
      <w:szCs w:val="20"/>
    </w:rPr>
  </w:style>
  <w:style w:type="character" w:customStyle="1" w:styleId="25">
    <w:name w:val="批注框文本 Char"/>
    <w:basedOn w:val="15"/>
    <w:link w:val="8"/>
    <w:qFormat/>
    <w:uiPriority w:val="0"/>
    <w:rPr>
      <w:rFonts w:ascii="MT Extra" w:hAnsi="MT Extra" w:eastAsia="宋体" w:cs="MT Extra"/>
      <w:kern w:val="0"/>
      <w:sz w:val="18"/>
      <w:szCs w:val="18"/>
    </w:rPr>
  </w:style>
  <w:style w:type="character" w:customStyle="1" w:styleId="26">
    <w:name w:val="批注框文本 字符1"/>
    <w:basedOn w:val="15"/>
    <w:semiHidden/>
    <w:qFormat/>
    <w:uiPriority w:val="99"/>
    <w:rPr>
      <w:rFonts w:ascii="MT Extra" w:hAnsi="MT Extra" w:eastAsia="宋体" w:cs="MT Extra"/>
      <w:kern w:val="0"/>
      <w:sz w:val="18"/>
      <w:szCs w:val="18"/>
    </w:rPr>
  </w:style>
  <w:style w:type="character" w:customStyle="1" w:styleId="27">
    <w:name w:val="正文文本缩进 3 Char"/>
    <w:basedOn w:val="15"/>
    <w:link w:val="11"/>
    <w:qFormat/>
    <w:uiPriority w:val="0"/>
    <w:rPr>
      <w:rFonts w:ascii="MT Extra" w:hAnsi="MT Extra" w:eastAsia="宋体" w:cs="MT Extra"/>
      <w:kern w:val="0"/>
      <w:sz w:val="24"/>
      <w:szCs w:val="20"/>
    </w:rPr>
  </w:style>
  <w:style w:type="paragraph" w:customStyle="1" w:styleId="28">
    <w:name w:val="Default"/>
    <w:qFormat/>
    <w:uiPriority w:val="99"/>
    <w:pPr>
      <w:widowControl w:val="0"/>
      <w:autoSpaceDE w:val="0"/>
      <w:autoSpaceDN w:val="0"/>
      <w:adjustRightInd w:val="0"/>
    </w:pPr>
    <w:rPr>
      <w:rFonts w:ascii="黑体" w:hAnsi="MT Extra" w:eastAsia="黑体" w:cs="黑体"/>
      <w:color w:val="000000"/>
      <w:sz w:val="24"/>
      <w:szCs w:val="24"/>
      <w:lang w:val="en-US" w:eastAsia="zh-CN" w:bidi="ar-SA"/>
    </w:rPr>
  </w:style>
  <w:style w:type="paragraph" w:styleId="29">
    <w:name w:val="List Paragraph"/>
    <w:basedOn w:val="1"/>
    <w:qFormat/>
    <w:uiPriority w:val="34"/>
    <w:pPr>
      <w:widowControl w:val="0"/>
      <w:ind w:firstLine="420" w:firstLineChars="200"/>
      <w:jc w:val="both"/>
    </w:pPr>
    <w:rPr>
      <w:rFonts w:ascii="Calibri" w:hAnsi="Calibri" w:cs="Times New Roman"/>
      <w:kern w:val="2"/>
      <w:sz w:val="21"/>
      <w:szCs w:val="22"/>
    </w:rPr>
  </w:style>
  <w:style w:type="paragraph" w:customStyle="1" w:styleId="30">
    <w:name w:val="公文"/>
    <w:basedOn w:val="1"/>
    <w:qFormat/>
    <w:uiPriority w:val="0"/>
    <w:pPr>
      <w:adjustRightInd w:val="0"/>
      <w:snapToGrid w:val="0"/>
      <w:spacing w:beforeLines="25" w:afterLines="35"/>
      <w:ind w:firstLine="200" w:firstLineChars="200"/>
    </w:pPr>
    <w:rPr>
      <w:rFonts w:ascii="仿宋_GB2312" w:eastAsia="仿宋_GB2312"/>
      <w:bCs/>
      <w:sz w:val="32"/>
    </w:rPr>
  </w:style>
  <w:style w:type="paragraph" w:customStyle="1" w:styleId="31">
    <w:name w:val="Char1"/>
    <w:basedOn w:val="1"/>
    <w:qFormat/>
    <w:uiPriority w:val="0"/>
    <w:pPr>
      <w:spacing w:after="160" w:line="240" w:lineRule="exact"/>
    </w:pPr>
    <w:rPr>
      <w:rFonts w:ascii="Verdana" w:hAnsi="Verdana"/>
      <w:sz w:val="20"/>
      <w:szCs w:val="20"/>
      <w:lang w:eastAsia="en-US"/>
    </w:rPr>
  </w:style>
  <w:style w:type="character" w:customStyle="1" w:styleId="32">
    <w:name w:val="font61"/>
    <w:qFormat/>
    <w:uiPriority w:val="0"/>
    <w:rPr>
      <w:rFonts w:hint="eastAsia" w:ascii="宋体" w:hAnsi="宋体" w:eastAsia="宋体" w:cs="宋体"/>
      <w:color w:val="000000"/>
      <w:sz w:val="18"/>
      <w:szCs w:val="18"/>
      <w:u w:val="none"/>
      <w:vertAlign w:val="subscript"/>
    </w:rPr>
  </w:style>
  <w:style w:type="character" w:customStyle="1" w:styleId="33">
    <w:name w:val="font21"/>
    <w:qFormat/>
    <w:uiPriority w:val="0"/>
    <w:rPr>
      <w:rFonts w:hint="eastAsia" w:ascii="宋体" w:hAnsi="宋体" w:eastAsia="宋体" w:cs="宋体"/>
      <w:color w:val="000000"/>
      <w:sz w:val="18"/>
      <w:szCs w:val="18"/>
      <w:u w:val="none"/>
    </w:rPr>
  </w:style>
  <w:style w:type="character" w:customStyle="1" w:styleId="34">
    <w:name w:val="标题 1 Char"/>
    <w:basedOn w:val="15"/>
    <w:link w:val="2"/>
    <w:qFormat/>
    <w:uiPriority w:val="0"/>
    <w:rPr>
      <w:rFonts w:ascii="Times New Roman" w:hAnsi="Times New Roman" w:eastAsia="仿宋_GB2312" w:cs="Times New Roman"/>
      <w:b/>
      <w:bCs/>
      <w:kern w:val="44"/>
      <w:sz w:val="44"/>
      <w:szCs w:val="44"/>
    </w:rPr>
  </w:style>
  <w:style w:type="paragraph" w:customStyle="1" w:styleId="35">
    <w:name w:val="样式2"/>
    <w:basedOn w:val="1"/>
    <w:qFormat/>
    <w:uiPriority w:val="0"/>
    <w:pPr>
      <w:widowControl w:val="0"/>
      <w:spacing w:line="600" w:lineRule="exact"/>
      <w:jc w:val="center"/>
    </w:pPr>
    <w:rPr>
      <w:rFonts w:ascii="Calibri" w:hAnsi="Calibri" w:eastAsia="方正小标宋简体" w:cs="Times New Roman"/>
      <w:kern w:val="2"/>
      <w:sz w:val="4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8056</Words>
  <Characters>8318</Characters>
  <Lines>64</Lines>
  <Paragraphs>18</Paragraphs>
  <TotalTime>38</TotalTime>
  <ScaleCrop>false</ScaleCrop>
  <LinksUpToDate>false</LinksUpToDate>
  <CharactersWithSpaces>8457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2022-07-15T06:54:00Z</dcterms:created>
  <dc:creator>詹 晓静</dc:creator>
  <cp:lastModifiedBy>liuyl1</cp:lastModifiedBy>
  <dcterms:modified xsi:type="dcterms:W3CDTF">2022-07-22T15:37:19Z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ABC5AFC4E99B46D9B090AA2A8CDAC93F</vt:lpwstr>
  </property>
</Properties>
</file>